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黑体" w:eastAsia="方正小标宋简体"/>
          <w:bCs/>
          <w:color w:val="000000" w:themeColor="text1"/>
          <w:sz w:val="44"/>
          <w:szCs w:val="44"/>
        </w:rPr>
      </w:pPr>
      <w:r>
        <w:rPr>
          <w:rFonts w:hint="eastAsia" w:ascii="方正小标宋简体" w:hAnsi="黑体" w:eastAsia="方正小标宋简体"/>
          <w:bCs/>
          <w:color w:val="000000" w:themeColor="text1"/>
          <w:sz w:val="44"/>
          <w:szCs w:val="44"/>
        </w:rPr>
        <w:t>山丹县</w:t>
      </w:r>
      <w:r>
        <w:rPr>
          <w:rFonts w:hint="eastAsia" w:ascii="方正小标宋简体" w:hAnsi="黑体" w:eastAsia="方正小标宋简体"/>
          <w:bCs/>
          <w:color w:val="000000" w:themeColor="text1"/>
          <w:sz w:val="44"/>
          <w:szCs w:val="44"/>
          <w:lang w:val="en-US" w:eastAsia="zh-CN"/>
        </w:rPr>
        <w:t>东街</w:t>
      </w:r>
      <w:r>
        <w:rPr>
          <w:rFonts w:hint="eastAsia" w:ascii="方正小标宋简体" w:hAnsi="黑体" w:eastAsia="方正小标宋简体"/>
          <w:bCs/>
          <w:color w:val="000000" w:themeColor="text1"/>
          <w:sz w:val="44"/>
          <w:szCs w:val="44"/>
        </w:rPr>
        <w:t>幼儿园2023年部门预算公开说明</w:t>
      </w:r>
    </w:p>
    <w:p>
      <w:pPr>
        <w:spacing w:line="540" w:lineRule="exact"/>
        <w:jc w:val="center"/>
        <w:rPr>
          <w:rFonts w:ascii="方正小标宋简体" w:hAnsi="黑体" w:eastAsia="方正小标宋简体"/>
          <w:bCs/>
          <w:color w:val="000000" w:themeColor="text1"/>
          <w:sz w:val="44"/>
          <w:szCs w:val="44"/>
        </w:rPr>
      </w:pPr>
    </w:p>
    <w:p>
      <w:pPr>
        <w:spacing w:line="576" w:lineRule="exact"/>
        <w:ind w:firstLine="640" w:firstLineChars="200"/>
        <w:jc w:val="left"/>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按照《预算法》、《地方预决算公开操作规程》、《中共甘肃省委办公厅 甘肃省人民政府办公厅关于进一步推进预算公开工作的实施方案》，现将2023年部门预算公开如下：</w:t>
      </w:r>
    </w:p>
    <w:p>
      <w:pPr>
        <w:spacing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一、部门职责</w:t>
      </w:r>
    </w:p>
    <w:p>
      <w:pPr>
        <w:spacing w:line="576" w:lineRule="exact"/>
        <w:ind w:firstLine="640" w:firstLineChars="20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为学龄前儿童提供保育和教育服务，幼儿保育，幼儿教育</w:t>
      </w:r>
    </w:p>
    <w:p>
      <w:pPr>
        <w:widowControl/>
        <w:spacing w:before="150" w:after="150"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二、机构设置</w:t>
      </w:r>
    </w:p>
    <w:p>
      <w:pPr>
        <w:widowControl/>
        <w:spacing w:before="150" w:after="150" w:line="576" w:lineRule="exact"/>
        <w:ind w:firstLine="48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山丹县幼儿园</w:t>
      </w:r>
      <w:r>
        <w:rPr>
          <w:rFonts w:ascii="仿宋_GB2312" w:hAnsi="黑体" w:eastAsia="仿宋_GB2312"/>
          <w:bCs/>
          <w:color w:val="000000" w:themeColor="text1"/>
          <w:sz w:val="32"/>
          <w:szCs w:val="32"/>
        </w:rPr>
        <w:t>共设置内设机构</w:t>
      </w:r>
      <w:r>
        <w:rPr>
          <w:rFonts w:hint="eastAsia" w:ascii="仿宋_GB2312" w:hAnsi="黑体" w:eastAsia="仿宋_GB2312"/>
          <w:bCs/>
          <w:color w:val="000000" w:themeColor="text1"/>
          <w:sz w:val="32"/>
          <w:szCs w:val="32"/>
        </w:rPr>
        <w:t>4</w:t>
      </w:r>
      <w:r>
        <w:rPr>
          <w:rFonts w:ascii="仿宋_GB2312" w:hAnsi="黑体" w:eastAsia="仿宋_GB2312"/>
          <w:bCs/>
          <w:color w:val="000000" w:themeColor="text1"/>
          <w:sz w:val="32"/>
          <w:szCs w:val="32"/>
        </w:rPr>
        <w:t>个，分别是</w:t>
      </w:r>
      <w:r>
        <w:rPr>
          <w:rFonts w:hint="eastAsia" w:ascii="仿宋_GB2312" w:hAnsi="黑体" w:eastAsia="仿宋_GB2312"/>
          <w:bCs/>
          <w:color w:val="000000" w:themeColor="text1"/>
          <w:sz w:val="32"/>
          <w:szCs w:val="32"/>
        </w:rPr>
        <w:t>办公室、保教室、教研室、总务处。</w:t>
      </w:r>
      <w:r>
        <w:rPr>
          <w:rFonts w:ascii="仿宋_GB2312" w:hAnsi="黑体" w:eastAsia="仿宋_GB2312"/>
          <w:bCs/>
          <w:color w:val="000000" w:themeColor="text1"/>
          <w:sz w:val="32"/>
          <w:szCs w:val="32"/>
        </w:rPr>
        <w:t>现有</w:t>
      </w:r>
      <w:r>
        <w:rPr>
          <w:rFonts w:hint="eastAsia" w:ascii="仿宋_GB2312" w:hAnsi="黑体" w:eastAsia="仿宋_GB2312"/>
          <w:bCs/>
          <w:color w:val="000000" w:themeColor="text1"/>
          <w:sz w:val="32"/>
          <w:szCs w:val="32"/>
        </w:rPr>
        <w:t>事业</w:t>
      </w:r>
      <w:r>
        <w:rPr>
          <w:rFonts w:ascii="仿宋_GB2312" w:hAnsi="黑体" w:eastAsia="仿宋_GB2312"/>
          <w:bCs/>
          <w:color w:val="000000" w:themeColor="text1"/>
          <w:sz w:val="32"/>
          <w:szCs w:val="32"/>
        </w:rPr>
        <w:t>编制</w:t>
      </w:r>
      <w:r>
        <w:rPr>
          <w:rFonts w:hint="eastAsia" w:ascii="仿宋_GB2312" w:hAnsi="黑体" w:eastAsia="仿宋_GB2312"/>
          <w:bCs/>
          <w:color w:val="000000" w:themeColor="text1"/>
          <w:sz w:val="32"/>
          <w:szCs w:val="32"/>
        </w:rPr>
        <w:t>2</w:t>
      </w:r>
      <w:r>
        <w:rPr>
          <w:rFonts w:hint="eastAsia" w:ascii="仿宋_GB2312" w:hAnsi="黑体" w:eastAsia="仿宋_GB2312"/>
          <w:bCs/>
          <w:color w:val="000000" w:themeColor="text1"/>
          <w:sz w:val="32"/>
          <w:szCs w:val="32"/>
          <w:lang w:val="en-US" w:eastAsia="zh-CN"/>
        </w:rPr>
        <w:t>9</w:t>
      </w:r>
      <w:r>
        <w:rPr>
          <w:rFonts w:ascii="仿宋_GB2312" w:hAnsi="黑体" w:eastAsia="仿宋_GB2312"/>
          <w:bCs/>
          <w:color w:val="000000" w:themeColor="text1"/>
          <w:sz w:val="32"/>
          <w:szCs w:val="32"/>
        </w:rPr>
        <w:t>名。</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三、部门收支总体情况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按照预算管理有关规定，2023年部门收支包括机关预算和下属单位预算在内的汇总情况。</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（一）收入预算</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2023</w:t>
      </w:r>
      <w:r>
        <w:rPr>
          <w:rFonts w:ascii="仿宋" w:hAnsi="仿宋" w:eastAsia="仿宋"/>
          <w:color w:val="000000" w:themeColor="text1"/>
          <w:sz w:val="32"/>
          <w:szCs w:val="32"/>
        </w:rPr>
        <w:t>年</w:t>
      </w:r>
      <w:r>
        <w:rPr>
          <w:rFonts w:hint="eastAsia" w:ascii="仿宋" w:hAnsi="仿宋" w:eastAsia="仿宋"/>
          <w:color w:val="000000" w:themeColor="text1"/>
          <w:sz w:val="32"/>
          <w:szCs w:val="32"/>
        </w:rPr>
        <w:t>山丹县清北幼儿园</w:t>
      </w:r>
      <w:r>
        <w:rPr>
          <w:rFonts w:ascii="仿宋" w:hAnsi="仿宋" w:eastAsia="仿宋"/>
          <w:color w:val="000000" w:themeColor="text1"/>
          <w:sz w:val="32"/>
          <w:szCs w:val="32"/>
        </w:rPr>
        <w:t>一般公共预算财政拨款收入</w:t>
      </w:r>
      <w:r>
        <w:rPr>
          <w:rFonts w:hint="eastAsia" w:ascii="仿宋" w:hAnsi="仿宋" w:eastAsia="仿宋"/>
          <w:color w:val="000000" w:themeColor="text1"/>
          <w:sz w:val="32"/>
          <w:szCs w:val="32"/>
          <w:lang w:val="en-US" w:eastAsia="zh-CN"/>
        </w:rPr>
        <w:t>227.082685</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为 2022年9月新成立的单位。 财政拨款包括：一般公共预算收入</w:t>
      </w:r>
      <w:r>
        <w:rPr>
          <w:rFonts w:hint="eastAsia" w:ascii="仿宋" w:hAnsi="仿宋" w:eastAsia="仿宋"/>
          <w:color w:val="000000" w:themeColor="text1"/>
          <w:sz w:val="32"/>
          <w:szCs w:val="32"/>
          <w:lang w:val="en-US" w:eastAsia="zh-CN"/>
        </w:rPr>
        <w:t>227.082685</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（二）支出预算</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2023</w:t>
      </w:r>
      <w:r>
        <w:rPr>
          <w:rFonts w:ascii="仿宋" w:hAnsi="仿宋" w:eastAsia="仿宋"/>
          <w:color w:val="000000" w:themeColor="text1"/>
          <w:sz w:val="32"/>
          <w:szCs w:val="32"/>
        </w:rPr>
        <w:t>年度预算支出合计</w:t>
      </w:r>
      <w:r>
        <w:rPr>
          <w:rFonts w:hint="eastAsia" w:ascii="仿宋" w:hAnsi="仿宋" w:eastAsia="仿宋"/>
          <w:color w:val="000000" w:themeColor="text1"/>
          <w:sz w:val="32"/>
          <w:szCs w:val="32"/>
          <w:lang w:val="en-US" w:eastAsia="zh-CN"/>
        </w:rPr>
        <w:t>227.082685</w:t>
      </w:r>
      <w:r>
        <w:rPr>
          <w:rFonts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1.教育支出183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7827万元</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2.社会保障和就业支出19</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765921</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3.卫生健康支出9</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759264</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3.住房保障支出13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7748</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四、一般公共预算情况</w:t>
      </w:r>
    </w:p>
    <w:p>
      <w:pPr>
        <w:spacing w:line="576" w:lineRule="exact"/>
        <w:ind w:firstLine="800" w:firstLineChars="250"/>
        <w:rPr>
          <w:rFonts w:ascii="仿宋" w:hAnsi="仿宋" w:eastAsia="仿宋"/>
          <w:color w:val="000000" w:themeColor="text1"/>
          <w:sz w:val="32"/>
          <w:szCs w:val="32"/>
        </w:rPr>
      </w:pPr>
      <w:r>
        <w:rPr>
          <w:rFonts w:hint="eastAsia" w:ascii="仿宋" w:hAnsi="仿宋" w:eastAsia="仿宋"/>
          <w:color w:val="000000" w:themeColor="text1"/>
          <w:sz w:val="32"/>
          <w:szCs w:val="32"/>
        </w:rPr>
        <w:t>2023年一般公共预算支出</w:t>
      </w:r>
      <w:r>
        <w:rPr>
          <w:rFonts w:ascii="仿宋" w:hAnsi="仿宋" w:eastAsia="仿宋"/>
          <w:color w:val="000000" w:themeColor="text1"/>
          <w:sz w:val="32"/>
          <w:szCs w:val="32"/>
        </w:rPr>
        <w:t>72.104893</w:t>
      </w:r>
      <w:r>
        <w:rPr>
          <w:rFonts w:hint="eastAsia" w:ascii="仿宋" w:hAnsi="仿宋" w:eastAsia="仿宋"/>
          <w:color w:val="000000" w:themeColor="text1"/>
          <w:sz w:val="32"/>
          <w:szCs w:val="32"/>
        </w:rPr>
        <w:t>万元（详见部门预算公开表4,5,6,7-1,7-2），具体安排情况如下：</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（一）基本支出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2023年基本支出</w:t>
      </w:r>
      <w:r>
        <w:rPr>
          <w:rFonts w:hint="eastAsia" w:ascii="仿宋" w:hAnsi="仿宋" w:eastAsia="仿宋"/>
          <w:color w:val="000000" w:themeColor="text1"/>
          <w:sz w:val="32"/>
          <w:szCs w:val="32"/>
          <w:lang w:val="en-US" w:eastAsia="zh-CN"/>
        </w:rPr>
        <w:t>227.082685</w:t>
      </w:r>
      <w:r>
        <w:rPr>
          <w:rFonts w:ascii="仿宋" w:hAnsi="仿宋" w:eastAsia="仿宋"/>
          <w:color w:val="000000" w:themeColor="text1"/>
          <w:sz w:val="32"/>
          <w:szCs w:val="32"/>
        </w:rPr>
        <w:t>万元</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（二）项目支出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山丹县幼儿园2023年无项目支出。</w:t>
      </w:r>
    </w:p>
    <w:p>
      <w:pPr>
        <w:spacing w:line="576" w:lineRule="exact"/>
        <w:ind w:firstLine="640" w:firstLineChars="200"/>
        <w:rPr>
          <w:rFonts w:ascii="楷体" w:hAnsi="楷体" w:eastAsia="楷体"/>
          <w:bCs/>
          <w:color w:val="000000" w:themeColor="text1"/>
          <w:sz w:val="32"/>
          <w:szCs w:val="32"/>
        </w:rPr>
      </w:pPr>
      <w:r>
        <w:rPr>
          <w:rFonts w:hint="eastAsia" w:ascii="楷体" w:hAnsi="楷体" w:eastAsia="楷体"/>
          <w:bCs/>
          <w:color w:val="000000" w:themeColor="text1"/>
          <w:sz w:val="32"/>
          <w:szCs w:val="32"/>
        </w:rPr>
        <w:t>（三）部门管理的转移支付</w:t>
      </w:r>
    </w:p>
    <w:p>
      <w:pPr>
        <w:spacing w:line="576" w:lineRule="exact"/>
        <w:ind w:firstLine="640" w:firstLineChars="200"/>
        <w:rPr>
          <w:rFonts w:ascii="仿宋" w:hAnsi="仿宋" w:eastAsia="仿宋"/>
          <w:bCs/>
          <w:color w:val="000000" w:themeColor="text1"/>
          <w:sz w:val="32"/>
          <w:szCs w:val="32"/>
        </w:rPr>
      </w:pPr>
      <w:r>
        <w:rPr>
          <w:rFonts w:hint="eastAsia" w:ascii="仿宋" w:hAnsi="仿宋" w:eastAsia="仿宋"/>
          <w:bCs/>
          <w:color w:val="000000" w:themeColor="text1"/>
          <w:sz w:val="32"/>
          <w:szCs w:val="32"/>
        </w:rPr>
        <w:t>无部门管理的转移支出。</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(四)</w:t>
      </w:r>
      <w:r>
        <w:rPr>
          <w:rFonts w:ascii="楷体" w:hAnsi="楷体" w:eastAsia="楷体"/>
          <w:color w:val="000000" w:themeColor="text1"/>
          <w:sz w:val="32"/>
          <w:szCs w:val="32"/>
        </w:rPr>
        <w:t xml:space="preserve"> </w:t>
      </w:r>
      <w:r>
        <w:rPr>
          <w:rFonts w:hint="eastAsia" w:ascii="楷体" w:hAnsi="楷体" w:eastAsia="楷体"/>
          <w:color w:val="000000" w:themeColor="text1"/>
          <w:sz w:val="32"/>
          <w:szCs w:val="32"/>
        </w:rPr>
        <w:t>非税收入</w:t>
      </w:r>
    </w:p>
    <w:p>
      <w:pPr>
        <w:spacing w:line="576" w:lineRule="exact"/>
        <w:ind w:firstLine="640" w:firstLineChars="200"/>
        <w:rPr>
          <w:rFonts w:eastAsia="仿宋"/>
          <w:color w:val="000000" w:themeColor="text1"/>
          <w:sz w:val="32"/>
          <w:szCs w:val="32"/>
        </w:rPr>
      </w:pPr>
      <w:r>
        <w:rPr>
          <w:rFonts w:hint="eastAsia" w:eastAsia="仿宋"/>
          <w:color w:val="000000" w:themeColor="text1"/>
          <w:sz w:val="32"/>
          <w:szCs w:val="32"/>
        </w:rPr>
        <w:t>本单位无非税收入</w:t>
      </w:r>
      <w:r>
        <w:rPr>
          <w:rFonts w:eastAsia="仿宋"/>
          <w:color w:val="000000" w:themeColor="text1"/>
          <w:sz w:val="32"/>
          <w:szCs w:val="32"/>
        </w:rPr>
        <w:t xml:space="preserve">          </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五、</w:t>
      </w:r>
      <w:r>
        <w:rPr>
          <w:rFonts w:ascii="黑体" w:hAnsi="黑体" w:eastAsia="黑体"/>
          <w:bCs/>
          <w:color w:val="000000" w:themeColor="text1"/>
          <w:sz w:val="32"/>
          <w:szCs w:val="32"/>
        </w:rPr>
        <w:t xml:space="preserve">政府性基金预算支出情况   </w:t>
      </w:r>
    </w:p>
    <w:p>
      <w:pPr>
        <w:spacing w:line="576" w:lineRule="exact"/>
        <w:ind w:firstLine="640" w:firstLineChars="200"/>
        <w:rPr>
          <w:rFonts w:eastAsia="仿宋"/>
          <w:color w:val="000000" w:themeColor="text1"/>
          <w:sz w:val="32"/>
          <w:szCs w:val="32"/>
        </w:rPr>
      </w:pPr>
      <w:r>
        <w:rPr>
          <w:rFonts w:eastAsia="仿宋"/>
          <w:color w:val="000000" w:themeColor="text1"/>
          <w:sz w:val="32"/>
          <w:szCs w:val="32"/>
        </w:rPr>
        <w:t>202</w:t>
      </w:r>
      <w:r>
        <w:rPr>
          <w:rFonts w:hint="eastAsia" w:eastAsia="仿宋"/>
          <w:color w:val="000000" w:themeColor="text1"/>
          <w:sz w:val="32"/>
          <w:szCs w:val="32"/>
        </w:rPr>
        <w:t>3</w:t>
      </w:r>
      <w:r>
        <w:rPr>
          <w:rFonts w:eastAsia="仿宋"/>
          <w:color w:val="000000" w:themeColor="text1"/>
          <w:sz w:val="32"/>
          <w:szCs w:val="32"/>
        </w:rPr>
        <w:t>年预算，无政府性基金预算支出</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六、国有资本经营预算</w:t>
      </w:r>
      <w:r>
        <w:rPr>
          <w:rFonts w:ascii="黑体" w:hAnsi="黑体" w:eastAsia="黑体"/>
          <w:bCs/>
          <w:color w:val="000000" w:themeColor="text1"/>
          <w:sz w:val="32"/>
          <w:szCs w:val="32"/>
        </w:rPr>
        <w:t>支出情况</w:t>
      </w:r>
    </w:p>
    <w:p>
      <w:pPr>
        <w:spacing w:line="576" w:lineRule="exact"/>
        <w:ind w:firstLine="640" w:firstLineChars="200"/>
        <w:rPr>
          <w:rFonts w:ascii="仿宋" w:hAnsi="仿宋" w:eastAsia="仿宋"/>
          <w:color w:val="000000" w:themeColor="text1"/>
          <w:sz w:val="32"/>
          <w:szCs w:val="32"/>
        </w:rPr>
      </w:pPr>
      <w:r>
        <w:rPr>
          <w:rFonts w:eastAsia="仿宋"/>
          <w:color w:val="000000" w:themeColor="text1"/>
          <w:sz w:val="32"/>
          <w:szCs w:val="32"/>
        </w:rPr>
        <w:t>202</w:t>
      </w:r>
      <w:r>
        <w:rPr>
          <w:rFonts w:hint="eastAsia" w:eastAsia="仿宋"/>
          <w:color w:val="000000" w:themeColor="text1"/>
          <w:sz w:val="32"/>
          <w:szCs w:val="32"/>
        </w:rPr>
        <w:t>3</w:t>
      </w:r>
      <w:r>
        <w:rPr>
          <w:rFonts w:eastAsia="仿宋"/>
          <w:color w:val="000000" w:themeColor="text1"/>
          <w:sz w:val="32"/>
          <w:szCs w:val="32"/>
        </w:rPr>
        <w:t>年预算，</w:t>
      </w:r>
      <w:r>
        <w:rPr>
          <w:rFonts w:hint="eastAsia" w:eastAsia="仿宋"/>
          <w:color w:val="000000" w:themeColor="text1"/>
          <w:sz w:val="32"/>
          <w:szCs w:val="32"/>
        </w:rPr>
        <w:t>国有资本经营支出预算为0元。</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七</w:t>
      </w:r>
      <w:r>
        <w:rPr>
          <w:rFonts w:ascii="黑体" w:hAnsi="黑体" w:eastAsia="黑体"/>
          <w:bCs/>
          <w:color w:val="000000" w:themeColor="text1"/>
          <w:sz w:val="32"/>
          <w:szCs w:val="32"/>
        </w:rPr>
        <w:t>、部门“三公”经费等预算安排情况</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1.因公出国（境）费用0.00万元。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2.公务接待费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3.公务用车购置及运行维护费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4.培训费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5.会议费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八</w:t>
      </w:r>
      <w:r>
        <w:rPr>
          <w:rFonts w:ascii="黑体" w:hAnsi="黑体" w:eastAsia="黑体"/>
          <w:bCs/>
          <w:color w:val="000000" w:themeColor="text1"/>
          <w:sz w:val="32"/>
          <w:szCs w:val="32"/>
        </w:rPr>
        <w:t>、其他重要事项情况说明</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w:t>
      </w:r>
      <w:r>
        <w:rPr>
          <w:rFonts w:hint="eastAsia" w:ascii="楷体" w:hAnsi="楷体" w:eastAsia="楷体"/>
          <w:color w:val="000000" w:themeColor="text1"/>
          <w:sz w:val="32"/>
          <w:szCs w:val="32"/>
        </w:rPr>
        <w:t>一</w:t>
      </w:r>
      <w:r>
        <w:rPr>
          <w:rFonts w:ascii="楷体" w:hAnsi="楷体" w:eastAsia="楷体"/>
          <w:color w:val="000000" w:themeColor="text1"/>
          <w:sz w:val="32"/>
          <w:szCs w:val="32"/>
        </w:rPr>
        <w:t>)政府采购安排情况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2023</w:t>
      </w:r>
      <w:r>
        <w:rPr>
          <w:rFonts w:ascii="仿宋" w:hAnsi="仿宋" w:eastAsia="仿宋"/>
          <w:color w:val="000000" w:themeColor="text1"/>
          <w:sz w:val="32"/>
          <w:szCs w:val="32"/>
        </w:rPr>
        <w:t>年本部门（单位）政府采购预算总额</w:t>
      </w:r>
      <w:r>
        <w:rPr>
          <w:rFonts w:hint="eastAsia" w:ascii="仿宋" w:hAnsi="仿宋" w:eastAsia="仿宋"/>
          <w:color w:val="000000" w:themeColor="text1"/>
          <w:sz w:val="32"/>
          <w:szCs w:val="32"/>
          <w:lang w:val="en-US" w:eastAsia="zh-CN"/>
        </w:rPr>
        <w:t>19.69</w:t>
      </w:r>
      <w:r>
        <w:rPr>
          <w:rFonts w:ascii="仿宋" w:hAnsi="仿宋" w:eastAsia="仿宋"/>
          <w:color w:val="000000" w:themeColor="text1"/>
          <w:sz w:val="32"/>
          <w:szCs w:val="32"/>
        </w:rPr>
        <w:t>万元，其中：政府采购货物预算</w:t>
      </w:r>
      <w:r>
        <w:rPr>
          <w:rFonts w:hint="eastAsia" w:ascii="仿宋" w:hAnsi="仿宋" w:eastAsia="仿宋"/>
          <w:color w:val="000000" w:themeColor="text1"/>
          <w:sz w:val="32"/>
          <w:szCs w:val="32"/>
          <w:lang w:val="en-US" w:eastAsia="zh-CN"/>
        </w:rPr>
        <w:t>15.69</w:t>
      </w:r>
      <w:r>
        <w:rPr>
          <w:rFonts w:ascii="仿宋" w:hAnsi="仿宋" w:eastAsia="仿宋"/>
          <w:color w:val="000000" w:themeColor="text1"/>
          <w:sz w:val="32"/>
          <w:szCs w:val="32"/>
        </w:rPr>
        <w:t>万元，政府采购服务预算</w:t>
      </w:r>
      <w:r>
        <w:rPr>
          <w:rFonts w:hint="eastAsia" w:ascii="仿宋" w:hAnsi="仿宋" w:eastAsia="仿宋"/>
          <w:color w:val="000000" w:themeColor="text1"/>
          <w:sz w:val="32"/>
          <w:szCs w:val="32"/>
          <w:lang w:val="en-US" w:eastAsia="zh-CN"/>
        </w:rPr>
        <w:t>4</w:t>
      </w:r>
      <w:r>
        <w:rPr>
          <w:rFonts w:ascii="仿宋" w:hAnsi="仿宋" w:eastAsia="仿宋"/>
          <w:color w:val="000000" w:themeColor="text1"/>
          <w:sz w:val="32"/>
          <w:szCs w:val="32"/>
        </w:rPr>
        <w:t>万元。</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(三)国有资产占用情况</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上年末固定资产金额为</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万元,其中：</w:t>
      </w:r>
      <w:r>
        <w:rPr>
          <w:rFonts w:hint="eastAsia" w:ascii="仿宋" w:hAnsi="仿宋" w:eastAsia="仿宋"/>
          <w:color w:val="000000" w:themeColor="text1"/>
          <w:sz w:val="32"/>
          <w:szCs w:val="32"/>
        </w:rPr>
        <w:t>请房屋及构筑物0万元，专用设备0万元，通用设备0万元，文物和陈列物0.00万元，图书0万元，家具用具0万元。2023</w:t>
      </w:r>
      <w:r>
        <w:rPr>
          <w:rFonts w:ascii="仿宋" w:hAnsi="仿宋" w:eastAsia="仿宋"/>
          <w:color w:val="000000" w:themeColor="text1"/>
          <w:sz w:val="32"/>
          <w:szCs w:val="32"/>
        </w:rPr>
        <w:t>年拟采购固定资产约</w:t>
      </w:r>
      <w:r>
        <w:rPr>
          <w:rFonts w:hint="eastAsia" w:ascii="仿宋" w:hAnsi="仿宋" w:eastAsia="仿宋"/>
          <w:color w:val="000000" w:themeColor="text1"/>
          <w:sz w:val="32"/>
          <w:szCs w:val="32"/>
          <w:lang w:val="en-US" w:eastAsia="zh-CN"/>
        </w:rPr>
        <w:t>18</w:t>
      </w:r>
      <w:r>
        <w:rPr>
          <w:rFonts w:ascii="仿宋" w:hAnsi="仿宋" w:eastAsia="仿宋"/>
          <w:color w:val="000000" w:themeColor="text1"/>
          <w:sz w:val="32"/>
          <w:szCs w:val="32"/>
        </w:rPr>
        <w:t>万元，主要包括：</w:t>
      </w:r>
      <w:r>
        <w:rPr>
          <w:rFonts w:hint="eastAsia" w:ascii="仿宋" w:hAnsi="仿宋" w:eastAsia="仿宋"/>
          <w:color w:val="000000" w:themeColor="text1"/>
          <w:sz w:val="32"/>
          <w:szCs w:val="32"/>
        </w:rPr>
        <w:t>幼儿图书、教辅图书、幼儿玩具、幼儿玩具柜等。</w:t>
      </w:r>
      <w:bookmarkStart w:id="0" w:name="_GoBack"/>
      <w:bookmarkEnd w:id="0"/>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（四）预算绩效情况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我园2023年人员经费预算纳入绩效管理,对此项目的预算绩效具体目标进行细化、量化，并经县财政局审核通过。在2023年预算执行过程中，我园将按照绩效目标的各项指标严格执行，并从严做好绩效目标的执行；待2023年预算执行完毕后，我园将对照绩效目标进行自查，并对绩效目标完成情况作出评价。</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九</w:t>
      </w:r>
      <w:r>
        <w:rPr>
          <w:rFonts w:ascii="黑体" w:hAnsi="黑体" w:eastAsia="黑体"/>
          <w:bCs/>
          <w:color w:val="000000" w:themeColor="text1"/>
          <w:sz w:val="32"/>
          <w:szCs w:val="32"/>
        </w:rPr>
        <w:t>、名词解释</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财政拨款收入：指县级财政当年拨付的资金。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上年结转和结余：指以前年度尚未完成，结转到本年度按有关规定继续使用的资金。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一般公共服务：指县财政局用于保障机构正常运行、开展财政管理活动的支出。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工资福利支出：反映单位开支的在职职工和编制外长期聘用人员的各类劳动报酬，以及为上述人员缴纳的各项社会保险费等。</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对个人和家庭的补助：反映政府用于对个人和家庭的补助支出。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社会保障和就业：指县财政局用于离退休人员的经费。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住房公积金：指按照国家统一规定，依据确定的比例为在职职工缴存的长期住房储金。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基本支出：指为保障机构正常运转、完成日常工作任务而发生的人员支出和公用支出。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项目支出：指在基本支出之外为完成特定行政任务和事业发展目标所发生的支出。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三公经费：是指县级部门用财政拨款安排的因公出国（境）费，公务用车购置及运行费和公务接待费。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会议费：反映单位在会议期间按规定开支的住宿费、伙食费、会议室租金、交通费、文件印刷费、医药费等支出。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培训费：反映因公出国（境）培训费以外的各类培训支出。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因公出国（境）费：反映单位公务出国（境）的国际旅费、国外城市间交通费、住宿费、伙食费、培训费、公杂费等支出。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公务接待费：反映单位按规定开支的各类公务接待（含外宾接待）支出。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公务用车购置费：反映公务用车车辆购置支出（含车辆购置税）。</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公务用车运行维护费：反映单位按规定保留的公务用车租用费、燃料费、维修费、过路过桥费、保险费、安全奖励费用等支出。   </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w:t>
      </w:r>
    </w:p>
    <w:p>
      <w:pPr>
        <w:spacing w:line="576" w:lineRule="exact"/>
        <w:rPr>
          <w:rFonts w:ascii="仿宋_GB2312" w:hAnsi="仿宋" w:eastAsia="仿宋_GB2312"/>
          <w:color w:val="000000" w:themeColor="text1"/>
          <w:sz w:val="32"/>
          <w:szCs w:val="32"/>
        </w:rPr>
      </w:pPr>
      <w:r>
        <w:rPr>
          <w:rFonts w:hint="eastAsia" w:ascii="仿宋" w:hAnsi="仿宋" w:eastAsia="仿宋"/>
          <w:color w:val="000000" w:themeColor="text1"/>
          <w:sz w:val="32"/>
          <w:szCs w:val="32"/>
        </w:rPr>
        <w:t xml:space="preserve">   </w:t>
      </w:r>
      <w:r>
        <w:rPr>
          <w:rFonts w:hint="eastAsia" w:ascii="仿宋_GB2312" w:hAnsi="仿宋" w:eastAsia="仿宋_GB2312"/>
          <w:color w:val="000000" w:themeColor="text1"/>
          <w:sz w:val="32"/>
          <w:szCs w:val="32"/>
        </w:rPr>
        <w:t xml:space="preserve"> 附件:2023年部门预算表及支出绩效目标表</w:t>
      </w:r>
    </w:p>
    <w:sectPr>
      <w:pgSz w:w="11906" w:h="16838"/>
      <w:pgMar w:top="1985"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zYTJmNzJjMTk0NTNhZjExNzNmMjAxNDg4YWQ0NzQifQ=="/>
  </w:docVars>
  <w:rsids>
    <w:rsidRoot w:val="00343FFF"/>
    <w:rsid w:val="000518B8"/>
    <w:rsid w:val="00081E3B"/>
    <w:rsid w:val="00090AA4"/>
    <w:rsid w:val="00091CB5"/>
    <w:rsid w:val="000B49CD"/>
    <w:rsid w:val="000D7849"/>
    <w:rsid w:val="000F2F9C"/>
    <w:rsid w:val="000F3A8D"/>
    <w:rsid w:val="00163E6C"/>
    <w:rsid w:val="00173BB3"/>
    <w:rsid w:val="00177B1B"/>
    <w:rsid w:val="0019460D"/>
    <w:rsid w:val="001951F6"/>
    <w:rsid w:val="00195EE2"/>
    <w:rsid w:val="001A2FB6"/>
    <w:rsid w:val="001A663A"/>
    <w:rsid w:val="001D4BE7"/>
    <w:rsid w:val="001E0A19"/>
    <w:rsid w:val="002242E0"/>
    <w:rsid w:val="002357C7"/>
    <w:rsid w:val="002446F9"/>
    <w:rsid w:val="002575AB"/>
    <w:rsid w:val="00257F8D"/>
    <w:rsid w:val="002707DA"/>
    <w:rsid w:val="002B274D"/>
    <w:rsid w:val="002C6CD8"/>
    <w:rsid w:val="002E124F"/>
    <w:rsid w:val="0030713D"/>
    <w:rsid w:val="0030776C"/>
    <w:rsid w:val="00311B2D"/>
    <w:rsid w:val="00324279"/>
    <w:rsid w:val="00335D9F"/>
    <w:rsid w:val="00343FFF"/>
    <w:rsid w:val="00360892"/>
    <w:rsid w:val="00363EFF"/>
    <w:rsid w:val="003A4AA3"/>
    <w:rsid w:val="004306F0"/>
    <w:rsid w:val="004343E3"/>
    <w:rsid w:val="004429A9"/>
    <w:rsid w:val="00446FE7"/>
    <w:rsid w:val="004761FF"/>
    <w:rsid w:val="00477D29"/>
    <w:rsid w:val="00497DAA"/>
    <w:rsid w:val="004C3ADE"/>
    <w:rsid w:val="004E0D15"/>
    <w:rsid w:val="004E667D"/>
    <w:rsid w:val="0050604C"/>
    <w:rsid w:val="00506673"/>
    <w:rsid w:val="0051042A"/>
    <w:rsid w:val="00543A14"/>
    <w:rsid w:val="00552FFB"/>
    <w:rsid w:val="005676AD"/>
    <w:rsid w:val="005733F1"/>
    <w:rsid w:val="00581AAB"/>
    <w:rsid w:val="00593AF3"/>
    <w:rsid w:val="005C35B6"/>
    <w:rsid w:val="005D0955"/>
    <w:rsid w:val="005E300A"/>
    <w:rsid w:val="005E44B0"/>
    <w:rsid w:val="005F5118"/>
    <w:rsid w:val="00623D8F"/>
    <w:rsid w:val="00645C49"/>
    <w:rsid w:val="00656F5A"/>
    <w:rsid w:val="006721D2"/>
    <w:rsid w:val="006817F5"/>
    <w:rsid w:val="006B5735"/>
    <w:rsid w:val="006B5B5B"/>
    <w:rsid w:val="006F1C39"/>
    <w:rsid w:val="00701A62"/>
    <w:rsid w:val="0072657B"/>
    <w:rsid w:val="007335DA"/>
    <w:rsid w:val="00754A6D"/>
    <w:rsid w:val="00756F5E"/>
    <w:rsid w:val="007B2A7C"/>
    <w:rsid w:val="007D636F"/>
    <w:rsid w:val="007E08CB"/>
    <w:rsid w:val="007F4481"/>
    <w:rsid w:val="00822B78"/>
    <w:rsid w:val="00826558"/>
    <w:rsid w:val="00846895"/>
    <w:rsid w:val="00856A89"/>
    <w:rsid w:val="00871F50"/>
    <w:rsid w:val="00890303"/>
    <w:rsid w:val="008F31A7"/>
    <w:rsid w:val="00911750"/>
    <w:rsid w:val="00913398"/>
    <w:rsid w:val="009577DA"/>
    <w:rsid w:val="0098179B"/>
    <w:rsid w:val="00987D5E"/>
    <w:rsid w:val="009B0BE7"/>
    <w:rsid w:val="009B0F5D"/>
    <w:rsid w:val="009B1017"/>
    <w:rsid w:val="009C4475"/>
    <w:rsid w:val="009C5EFC"/>
    <w:rsid w:val="009E0885"/>
    <w:rsid w:val="00A209C6"/>
    <w:rsid w:val="00A2315B"/>
    <w:rsid w:val="00A34CC6"/>
    <w:rsid w:val="00A404BD"/>
    <w:rsid w:val="00A45A88"/>
    <w:rsid w:val="00A7500F"/>
    <w:rsid w:val="00A7668E"/>
    <w:rsid w:val="00A81A99"/>
    <w:rsid w:val="00AF125B"/>
    <w:rsid w:val="00B01641"/>
    <w:rsid w:val="00B14054"/>
    <w:rsid w:val="00B35A59"/>
    <w:rsid w:val="00B73CB4"/>
    <w:rsid w:val="00B75FE0"/>
    <w:rsid w:val="00B800F0"/>
    <w:rsid w:val="00BD0A9B"/>
    <w:rsid w:val="00BF1C33"/>
    <w:rsid w:val="00BF3DDF"/>
    <w:rsid w:val="00C47627"/>
    <w:rsid w:val="00C63A01"/>
    <w:rsid w:val="00C63F18"/>
    <w:rsid w:val="00C73647"/>
    <w:rsid w:val="00C75244"/>
    <w:rsid w:val="00CA16B0"/>
    <w:rsid w:val="00CA6AED"/>
    <w:rsid w:val="00CB7CDC"/>
    <w:rsid w:val="00CE485D"/>
    <w:rsid w:val="00D26D0C"/>
    <w:rsid w:val="00D40745"/>
    <w:rsid w:val="00D623EF"/>
    <w:rsid w:val="00D71E01"/>
    <w:rsid w:val="00D87234"/>
    <w:rsid w:val="00DB0333"/>
    <w:rsid w:val="00DB0357"/>
    <w:rsid w:val="00DC383A"/>
    <w:rsid w:val="00DD125A"/>
    <w:rsid w:val="00DD6B56"/>
    <w:rsid w:val="00DE6DE6"/>
    <w:rsid w:val="00DF2BF5"/>
    <w:rsid w:val="00E02267"/>
    <w:rsid w:val="00E27539"/>
    <w:rsid w:val="00E309D0"/>
    <w:rsid w:val="00E6032A"/>
    <w:rsid w:val="00E70345"/>
    <w:rsid w:val="00E7293A"/>
    <w:rsid w:val="00E7302E"/>
    <w:rsid w:val="00EB4930"/>
    <w:rsid w:val="00F02DD3"/>
    <w:rsid w:val="00F60E01"/>
    <w:rsid w:val="00F61487"/>
    <w:rsid w:val="00F64D28"/>
    <w:rsid w:val="00F66269"/>
    <w:rsid w:val="00F75D55"/>
    <w:rsid w:val="00F94082"/>
    <w:rsid w:val="00FD7FF6"/>
    <w:rsid w:val="03BD489B"/>
    <w:rsid w:val="09931DB5"/>
    <w:rsid w:val="0999012D"/>
    <w:rsid w:val="0A9D21CB"/>
    <w:rsid w:val="11BC6404"/>
    <w:rsid w:val="1B264CB4"/>
    <w:rsid w:val="25FA62CC"/>
    <w:rsid w:val="29FD638B"/>
    <w:rsid w:val="2ABF7AE4"/>
    <w:rsid w:val="2D606DAB"/>
    <w:rsid w:val="32F26E4B"/>
    <w:rsid w:val="34640ECA"/>
    <w:rsid w:val="38501C26"/>
    <w:rsid w:val="39F6440D"/>
    <w:rsid w:val="54C81714"/>
    <w:rsid w:val="58045756"/>
    <w:rsid w:val="5FFB4B43"/>
    <w:rsid w:val="61AE3A1B"/>
    <w:rsid w:val="7C683DCF"/>
    <w:rsid w:val="F57F787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1790</Words>
  <Characters>1944</Characters>
  <Lines>14</Lines>
  <Paragraphs>4</Paragraphs>
  <TotalTime>7</TotalTime>
  <ScaleCrop>false</ScaleCrop>
  <LinksUpToDate>false</LinksUpToDate>
  <CharactersWithSpaces>1970</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2019-04-25T09:03:00Z</dcterms:created>
  <dc:creator>User</dc:creator>
  <cp:lastModifiedBy>彼岸流殇</cp:lastModifiedBy>
  <cp:lastPrinted>2020-03-30T10:34:00Z</cp:lastPrinted>
  <dcterms:modified xsi:type="dcterms:W3CDTF">2023-01-10T03:39:38Z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0BF58FF102714EEF99F455AC89655567</vt:lpwstr>
  </property>
</Properties>
</file>