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A3389">
      <w:pPr>
        <w:jc w:val="center"/>
        <w:rPr>
          <w:rFonts w:ascii="方正小标宋简体" w:eastAsia="方正小标宋简体"/>
          <w:sz w:val="40"/>
          <w:szCs w:val="40"/>
        </w:rPr>
      </w:pPr>
      <w:r>
        <w:rPr>
          <w:rFonts w:hint="eastAsia" w:ascii="方正小标宋简体" w:eastAsia="方正小标宋简体"/>
          <w:sz w:val="40"/>
          <w:szCs w:val="40"/>
        </w:rPr>
        <w:t>山丹县市场监督管理局</w:t>
      </w:r>
    </w:p>
    <w:p w14:paraId="0FAA8AEB">
      <w:pPr>
        <w:jc w:val="center"/>
        <w:rPr>
          <w:rFonts w:ascii="方正小标宋简体" w:eastAsia="方正小标宋简体"/>
          <w:sz w:val="40"/>
          <w:szCs w:val="40"/>
        </w:rPr>
      </w:pPr>
      <w:r>
        <w:rPr>
          <w:rFonts w:hint="eastAsia" w:ascii="方正小标宋简体" w:eastAsia="方正小标宋简体"/>
          <w:sz w:val="40"/>
          <w:szCs w:val="40"/>
        </w:rPr>
        <w:t>部门整体支出绩效自评报告</w:t>
      </w:r>
    </w:p>
    <w:p w14:paraId="0BC4077A">
      <w:pPr>
        <w:numPr>
          <w:ilvl w:val="0"/>
          <w:numId w:val="1"/>
        </w:numPr>
        <w:spacing w:line="560" w:lineRule="exact"/>
        <w:ind w:firstLine="640" w:firstLineChars="200"/>
        <w:rPr>
          <w:rFonts w:ascii="楷体_GB2312" w:hAnsi="黑体" w:eastAsia="楷体_GB2312"/>
          <w:b/>
          <w:sz w:val="32"/>
          <w:szCs w:val="32"/>
        </w:rPr>
      </w:pPr>
      <w:r>
        <w:rPr>
          <w:rFonts w:hint="eastAsia" w:ascii="黑体" w:hAnsi="黑体" w:eastAsia="黑体"/>
          <w:sz w:val="32"/>
          <w:szCs w:val="32"/>
        </w:rPr>
        <w:t>部门概况</w:t>
      </w:r>
    </w:p>
    <w:p w14:paraId="5195B4B7">
      <w:pPr>
        <w:spacing w:line="56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（一）基本情况</w:t>
      </w:r>
    </w:p>
    <w:p w14:paraId="3AB8DBF7">
      <w:pPr>
        <w:spacing w:line="560" w:lineRule="exact"/>
        <w:ind w:firstLine="640" w:firstLineChars="200"/>
        <w:rPr>
          <w:rFonts w:ascii="仿宋_GB2312" w:eastAsia="仿宋_GB2312"/>
          <w:sz w:val="32"/>
          <w:szCs w:val="32"/>
        </w:rPr>
      </w:pPr>
      <w:r>
        <w:rPr>
          <w:rFonts w:hint="eastAsia" w:ascii="仿宋_GB2312" w:eastAsia="仿宋_GB2312"/>
          <w:sz w:val="32"/>
          <w:szCs w:val="32"/>
        </w:rPr>
        <w:t>1.单位基本情况</w:t>
      </w:r>
    </w:p>
    <w:p w14:paraId="19BFDE28">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山丹县市场监督管理局是县政府工作部门, 根据职责，山丹县市场监督管理局内设11个股室：办公室（非公有制经济组织党建工作办公室）、行政许可注册登记和信用监管股（法规股）、质量发展股（标准计量和认证认可股）、特种设备安全监察股、知识产权和专利股、消费者权益保护股（12315消费者投诉举报中心）、应急管理与食品安全综合协调股、食品生产流通监管股（餐饮服务监管股）、药品及医疗器械化妆品安全监管股、市场规范管理股（网络交易监督管理股）、价格监督检查和反不正当竞争股（市场监管大数据应用股、执法中队）</w:t>
      </w:r>
    </w:p>
    <w:p w14:paraId="3B2F8366">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设置清泉所、位奇所、东乐所、陈户所、大马营所、霍城所、李桥所、老军所8个派出机构；两个下属事业单位：山丹县食品药品检验检测中心、山丹县质量技术监督检测所。全局实有人数78人 (包括行政人员27人，全额拨款事业人员47人，自收自支人员4名)，离休人员1人，退休人员52人，遗属11人。</w:t>
      </w:r>
    </w:p>
    <w:p w14:paraId="2256CC08">
      <w:pPr>
        <w:tabs>
          <w:tab w:val="left" w:pos="312"/>
        </w:tabs>
        <w:spacing w:line="560" w:lineRule="exact"/>
        <w:ind w:left="640"/>
        <w:rPr>
          <w:rFonts w:ascii="仿宋_GB2312" w:eastAsia="仿宋_GB2312"/>
          <w:sz w:val="32"/>
          <w:szCs w:val="32"/>
        </w:rPr>
      </w:pPr>
      <w:r>
        <w:rPr>
          <w:rFonts w:hint="eastAsia" w:ascii="仿宋_GB2312" w:eastAsia="仿宋_GB2312"/>
          <w:sz w:val="32"/>
          <w:szCs w:val="32"/>
        </w:rPr>
        <w:t>2.单位职能职责</w:t>
      </w:r>
    </w:p>
    <w:p w14:paraId="73FF7F57">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负责市场综合监督管理，市场监管综合行政执法，食品药品、医疗器械、化妆品行政许可和市场主体统一登记注册，质量、食品、药品和特种设备安全监督管理，管理知识产权工作。</w:t>
      </w:r>
    </w:p>
    <w:p w14:paraId="20281161">
      <w:pPr>
        <w:spacing w:line="56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（二）年度重点工作</w:t>
      </w:r>
    </w:p>
    <w:p w14:paraId="1C9F67CE">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1.大力推进质量提升。加强全面质量管理和全市质量基础设施体系建设，完善质量激励制度，推进品牌建设。落实企业产品质量安全事故强制报告制度及经营者首问和赔偿制度，创新第三方质量评价，强化生产经营者主体责任，推广先进的质量管理方法。</w:t>
      </w:r>
    </w:p>
    <w:p w14:paraId="769D6E3D">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2.深入推进简政放权。深化“放管服”改革，推进商事制度改革，改革企业名称核准、市场主体退出等制度，深化“证照分离”改革，推动“照后减证”，压缩企业开办时间。加快检验检测机构市场化社会化改革。</w:t>
      </w:r>
    </w:p>
    <w:p w14:paraId="51884E49">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3.严守安全监管底线。遵循“最严谨的标准、最严格的监管、最严厉的处罚、最严肃的问责”要求，依法加强食品安全、工业产品质量安全、特种</w:t>
      </w:r>
      <w:r>
        <w:rPr>
          <w:rFonts w:hint="eastAsia" w:ascii="仿宋_GB2312" w:eastAsia="仿宋_GB2312" w:hAnsiTheme="minorHAnsi" w:cstheme="minorBidi"/>
          <w:kern w:val="2"/>
          <w:sz w:val="32"/>
          <w:szCs w:val="32"/>
          <w:lang w:val="en-US" w:eastAsia="zh-CN"/>
        </w:rPr>
        <w:t>设备</w:t>
      </w:r>
      <w:bookmarkStart w:id="0" w:name="_GoBack"/>
      <w:bookmarkEnd w:id="0"/>
      <w:r>
        <w:rPr>
          <w:rFonts w:hint="eastAsia" w:ascii="仿宋_GB2312" w:eastAsia="仿宋_GB2312" w:hAnsiTheme="minorHAnsi" w:cstheme="minorBidi"/>
          <w:kern w:val="2"/>
          <w:sz w:val="32"/>
          <w:szCs w:val="32"/>
        </w:rPr>
        <w:t>安全监管。</w:t>
      </w:r>
    </w:p>
    <w:p w14:paraId="7A3A1FB9">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4.加强事中事后监管。加快清理废除妨碍全市统一市场和公平竞争的各种规定和做法，加强反垄断工作，加强反不正当竞争统一执法。</w:t>
      </w:r>
    </w:p>
    <w:p w14:paraId="5F564A21">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5.提高管理服务水平。加快整合消费者投诉、质量监督举报、食品药品投诉、知识产权投诉、价格投诉举报专线。</w:t>
      </w:r>
    </w:p>
    <w:p w14:paraId="1208A5BE">
      <w:pPr>
        <w:spacing w:line="56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（三）整体收支情况</w:t>
      </w:r>
    </w:p>
    <w:p w14:paraId="4E1203AE">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1.收入决算情况：</w:t>
      </w:r>
    </w:p>
    <w:p w14:paraId="24CA9DF0">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2023年，市场监管局收入共计1810.17元，与上年相比增加254.30万元，收入增加的原因主要是支付疫情防控配餐经费，增加食品检验检测中心运行经费、企业帮办团队经费及质量风险监测经费。收入情况具体为：</w:t>
      </w:r>
    </w:p>
    <w:p w14:paraId="2924A85B">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财政拨款收入1810.17万元，占本年收入的100%，与上年相比上升16.21%。</w:t>
      </w:r>
    </w:p>
    <w:p w14:paraId="7A497331">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支出决算情况</w:t>
      </w:r>
    </w:p>
    <w:p w14:paraId="68884D7A">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支出决算情况。2023年，市场监管局支出共计1810.31万元，比上年增加254.82万元。</w:t>
      </w:r>
    </w:p>
    <w:p w14:paraId="694A17D5">
      <w:pPr>
        <w:spacing w:line="560" w:lineRule="exact"/>
        <w:ind w:firstLine="640" w:firstLineChars="200"/>
        <w:rPr>
          <w:rFonts w:ascii="黑体" w:hAnsi="黑体" w:eastAsia="黑体"/>
          <w:sz w:val="32"/>
          <w:szCs w:val="32"/>
        </w:rPr>
      </w:pPr>
      <w:r>
        <w:rPr>
          <w:rFonts w:hint="eastAsia" w:ascii="黑体" w:hAnsi="黑体" w:eastAsia="黑体"/>
          <w:sz w:val="32"/>
          <w:szCs w:val="32"/>
        </w:rPr>
        <w:t>二、整体支出管理及使用情况</w:t>
      </w:r>
    </w:p>
    <w:p w14:paraId="0D022090">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w:t>
      </w:r>
    </w:p>
    <w:p w14:paraId="46ECD080">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基本支出1224.92万元,占总支出的比重为67.66%，比上年增加253.23万元，增长26.06%，主要原因是在职人员减少。</w:t>
      </w:r>
    </w:p>
    <w:p w14:paraId="17113312">
      <w:pPr>
        <w:pStyle w:val="4"/>
        <w:numPr>
          <w:ilvl w:val="0"/>
          <w:numId w:val="2"/>
        </w:numPr>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项目支出</w:t>
      </w:r>
    </w:p>
    <w:p w14:paraId="530A028F">
      <w:pPr>
        <w:pStyle w:val="4"/>
        <w:spacing w:before="0" w:beforeAutospacing="0" w:after="0" w:afterAutospacing="0" w:line="560" w:lineRule="exact"/>
        <w:ind w:firstLine="640" w:firstLineChars="200"/>
        <w:jc w:val="both"/>
        <w:rPr>
          <w:rFonts w:hint="eastAsia"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项目支出585.39万元，占总支出的比重为32.33%，比上年增加522.32万元，增长828%，主要原因是支付疫情防控配餐经费，增加专业市场归行纳市补助、食品检验检测中心运行经费、企业帮办团队经费及质量风险监测经费。</w:t>
      </w:r>
    </w:p>
    <w:p w14:paraId="7459CB13">
      <w:pPr>
        <w:pStyle w:val="4"/>
        <w:numPr>
          <w:ilvl w:val="0"/>
          <w:numId w:val="2"/>
        </w:numPr>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三公经费决算支出</w:t>
      </w:r>
    </w:p>
    <w:p w14:paraId="4E060A6D">
      <w:pPr>
        <w:pStyle w:val="4"/>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hAnsiTheme="minorHAnsi" w:cstheme="minorBidi"/>
          <w:kern w:val="2"/>
          <w:sz w:val="32"/>
          <w:szCs w:val="32"/>
        </w:rPr>
        <w:t>三公经费支出2.67万元，目前我局三公经费2.67万元全部是公务接待费,占总支出的比重为0.14%，比上年有所增加。</w:t>
      </w:r>
      <w:r>
        <w:rPr>
          <w:rFonts w:ascii="仿宋_GB2312" w:eastAsia="仿宋_GB2312"/>
          <w:sz w:val="32"/>
          <w:szCs w:val="32"/>
        </w:rPr>
        <w:t xml:space="preserve"> </w:t>
      </w:r>
    </w:p>
    <w:p w14:paraId="4F57473D">
      <w:pPr>
        <w:spacing w:line="560" w:lineRule="exact"/>
        <w:ind w:firstLine="640" w:firstLineChars="200"/>
        <w:rPr>
          <w:rFonts w:ascii="仿宋_GB2312" w:eastAsia="仿宋_GB2312"/>
          <w:sz w:val="32"/>
          <w:szCs w:val="32"/>
        </w:rPr>
      </w:pPr>
      <w:r>
        <w:rPr>
          <w:rFonts w:hint="eastAsia" w:ascii="仿宋_GB2312" w:eastAsia="仿宋_GB2312"/>
          <w:sz w:val="32"/>
          <w:szCs w:val="32"/>
        </w:rPr>
        <w:t>（四）支出管理情况</w:t>
      </w:r>
    </w:p>
    <w:p w14:paraId="159796DD">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本项目严格按照《甘肃省政府购买服务预算管理办法》《甘肃省药品监督管理局采购管理办法》等有关要求，严格审核每一笔支出，各项开支均合理合法，有据可循。</w:t>
      </w:r>
    </w:p>
    <w:p w14:paraId="16E714F1">
      <w:pPr>
        <w:spacing w:line="560" w:lineRule="exact"/>
        <w:ind w:firstLine="640" w:firstLineChars="200"/>
        <w:rPr>
          <w:rFonts w:ascii="仿宋_GB2312" w:eastAsia="仿宋_GB2312"/>
          <w:sz w:val="32"/>
          <w:szCs w:val="32"/>
        </w:rPr>
      </w:pPr>
      <w:r>
        <w:rPr>
          <w:rFonts w:hint="eastAsia" w:ascii="仿宋_GB2312" w:eastAsia="仿宋_GB2312"/>
          <w:sz w:val="32"/>
          <w:szCs w:val="32"/>
        </w:rPr>
        <w:t>（五）资产管理情况</w:t>
      </w:r>
    </w:p>
    <w:p w14:paraId="3904D5B4">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根据国有资产管理办法，我局购入固定资产严格按照政府采购相关规定先审批后购买、再登记入账的程序进行，已购固定资产全部入账并及时足额提折旧。资产报废、核销均执行单位申报、财政部门审批后再核销记账的流程。资产账实相符，不存在违规购置、处置资产、无故流失、错记漏记、随意简化手续等问题。我局无闲置或对外出租情况。</w:t>
      </w:r>
    </w:p>
    <w:p w14:paraId="6082CA65">
      <w:pPr>
        <w:spacing w:line="560" w:lineRule="exact"/>
        <w:ind w:firstLine="640" w:firstLineChars="200"/>
        <w:rPr>
          <w:rFonts w:ascii="黑体" w:hAnsi="黑体" w:eastAsia="黑体"/>
          <w:sz w:val="32"/>
          <w:szCs w:val="32"/>
        </w:rPr>
      </w:pPr>
      <w:r>
        <w:rPr>
          <w:rFonts w:hint="eastAsia" w:ascii="黑体" w:hAnsi="黑体" w:eastAsia="黑体"/>
          <w:sz w:val="32"/>
          <w:szCs w:val="32"/>
        </w:rPr>
        <w:t>三、整体支出绩效情况</w:t>
      </w:r>
    </w:p>
    <w:p w14:paraId="420378CC">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一是对市场主体和消费主体信息进行统计和反馈，通过自主进行和委托第三方的方式，对企业年报数、12315投诉案件、辖区年度经营主体底数等数据进行了统计录入，同时对举报投诉案件进行了查处；二是抽查项目，通过事先制定计划，明确抽查任务、抽查事项、抽查对象范围、抽取比例等信息，有效规范地完成了省转移食品安全抽检任务；三是开展打击整治行动，为进一步整治直销乱象，加大打击传销工作力度，维护良好社会经济秩序，保护人民群众合法权益，对违法直销、异地聚集式传销、网络传销等行为进行了重点打击。</w:t>
      </w:r>
    </w:p>
    <w:p w14:paraId="1615CFDA">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山丹县市场监督管理局接到省市场监督管理局2023年省级药品应急抽检、省级药品监督抽验、省级食品抽验检验通知后，立马组织人员按照省、市抽检计划进行抽检，抽检工作严格遵守各项廉洁自律纪律和保密规定，无违纪，无泄密事件发生。</w:t>
      </w:r>
    </w:p>
    <w:p w14:paraId="388EBB8D">
      <w:pPr>
        <w:spacing w:line="560" w:lineRule="exact"/>
        <w:ind w:firstLine="640" w:firstLineChars="200"/>
        <w:rPr>
          <w:rFonts w:ascii="黑体" w:hAnsi="黑体" w:eastAsia="黑体"/>
          <w:sz w:val="32"/>
          <w:szCs w:val="32"/>
        </w:rPr>
      </w:pPr>
      <w:r>
        <w:rPr>
          <w:rFonts w:hint="eastAsia" w:ascii="黑体" w:hAnsi="黑体" w:eastAsia="黑体"/>
          <w:sz w:val="32"/>
          <w:szCs w:val="32"/>
        </w:rPr>
        <w:t>四、存在的问题</w:t>
      </w:r>
    </w:p>
    <w:p w14:paraId="658549EC">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一是绩效评价资料收集不全面，主要是社会效益方面的资料不够全面，尽管诸多执法工作引起了不同范围内的社会关注和好评，但由于不注重收集或收集不及时，致使在评价过程中缺乏有说服力的证据。二是行政执法专项经费的导向作用发挥不明显。对反不正当竞争及治理商业贿赂等群众关注的热点领域，这一类型的案件比较少。三是由于疫情原因，省局统采分签方式购买的执法装备，年底未能支付。</w:t>
      </w:r>
    </w:p>
    <w:p w14:paraId="345EDCA2">
      <w:pPr>
        <w:numPr>
          <w:ilvl w:val="0"/>
          <w:numId w:val="3"/>
        </w:numPr>
        <w:spacing w:line="560" w:lineRule="exact"/>
        <w:ind w:firstLine="640" w:firstLineChars="200"/>
        <w:rPr>
          <w:rFonts w:ascii="黑体" w:hAnsi="黑体" w:eastAsia="黑体"/>
          <w:sz w:val="32"/>
          <w:szCs w:val="32"/>
        </w:rPr>
      </w:pPr>
      <w:r>
        <w:rPr>
          <w:rFonts w:hint="eastAsia" w:ascii="黑体" w:hAnsi="黑体" w:eastAsia="黑体"/>
          <w:sz w:val="32"/>
          <w:szCs w:val="32"/>
        </w:rPr>
        <w:t>下一步改进工作的措施</w:t>
      </w:r>
    </w:p>
    <w:p w14:paraId="2572FEA1">
      <w:pPr>
        <w:pStyle w:val="4"/>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eastAsia="仿宋_GB2312" w:hAnsiTheme="minorHAnsi" w:cstheme="minorBidi"/>
          <w:kern w:val="2"/>
          <w:sz w:val="32"/>
          <w:szCs w:val="32"/>
        </w:rPr>
        <w:t xml:space="preserve">在今后的工作中我们将着重从以下几个方面来做好专项资金的使用和管理工作：一是进一步完善评价指标体系，能量化的尽可能量化，增强评价的可操作性。二是在经费的使用方向上，要出台一些激励性政策，调动执法办案人员查办案件的积极性。三是拓宽执法领域，加强市场监管，应继续加强对网络市场的监管。四是加强队伍建设，提升业务水平。 </w:t>
      </w:r>
      <w:r>
        <w:rPr>
          <w:rFonts w:hint="eastAsia" w:ascii="仿宋_GB2312" w:hAnsi="仿宋_GB2312" w:eastAsia="仿宋_GB2312" w:cs="仿宋_GB2312"/>
          <w:sz w:val="32"/>
          <w:szCs w:val="32"/>
        </w:rPr>
        <w:t xml:space="preserve"> </w:t>
      </w:r>
    </w:p>
    <w:p w14:paraId="59D69CFC">
      <w:pPr>
        <w:autoSpaceDE w:val="0"/>
        <w:autoSpaceDN w:val="0"/>
        <w:adjustRightInd w:val="0"/>
        <w:spacing w:line="560" w:lineRule="exact"/>
        <w:ind w:firstLine="640"/>
        <w:rPr>
          <w:rFonts w:ascii="仿宋_GB2312" w:hAnsi="仿宋_GB2312" w:eastAsia="仿宋_GB2312" w:cs="仿宋_GB2312"/>
          <w:sz w:val="32"/>
          <w:szCs w:val="32"/>
        </w:rPr>
      </w:pPr>
    </w:p>
    <w:p w14:paraId="075B8F2D">
      <w:pPr>
        <w:autoSpaceDE w:val="0"/>
        <w:autoSpaceDN w:val="0"/>
        <w:adjustRightInd w:val="0"/>
        <w:spacing w:line="560" w:lineRule="exact"/>
        <w:ind w:firstLine="640"/>
        <w:rPr>
          <w:rFonts w:ascii="仿宋_GB2312" w:hAnsi="仿宋_GB2312" w:eastAsia="仿宋_GB2312" w:cs="仿宋_GB2312"/>
          <w:sz w:val="32"/>
          <w:szCs w:val="32"/>
        </w:rPr>
      </w:pPr>
    </w:p>
    <w:p w14:paraId="3A9C0A4F">
      <w:pPr>
        <w:pStyle w:val="4"/>
        <w:spacing w:before="0" w:beforeAutospacing="0" w:after="0" w:afterAutospacing="0" w:line="560" w:lineRule="exact"/>
        <w:ind w:firstLine="3840" w:firstLineChars="12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山丹县市场监督管理局</w:t>
      </w:r>
    </w:p>
    <w:p w14:paraId="444160CE">
      <w:pPr>
        <w:pStyle w:val="4"/>
        <w:spacing w:before="0" w:beforeAutospacing="0" w:after="0" w:afterAutospacing="0" w:line="560" w:lineRule="exact"/>
        <w:ind w:firstLine="4160" w:firstLineChars="1300"/>
        <w:jc w:val="both"/>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 xml:space="preserve">2023年12月28日  </w:t>
      </w:r>
    </w:p>
    <w:p w14:paraId="251B5C84">
      <w:pPr>
        <w:pStyle w:val="4"/>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p>
    <w:p w14:paraId="223B9B9A">
      <w:pPr>
        <w:spacing w:line="600" w:lineRule="exact"/>
        <w:ind w:firstLine="420" w:firstLineChars="200"/>
      </w:pPr>
    </w:p>
    <w:p w14:paraId="4A4F2B8B"/>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1C15E"/>
    <w:multiLevelType w:val="singleLevel"/>
    <w:tmpl w:val="C281C15E"/>
    <w:lvl w:ilvl="0" w:tentative="0">
      <w:start w:val="2"/>
      <w:numFmt w:val="chineseCounting"/>
      <w:suff w:val="nothing"/>
      <w:lvlText w:val="（%1）"/>
      <w:lvlJc w:val="left"/>
      <w:rPr>
        <w:rFonts w:hint="eastAsia"/>
      </w:rPr>
    </w:lvl>
  </w:abstractNum>
  <w:abstractNum w:abstractNumId="1">
    <w:nsid w:val="251DF3EB"/>
    <w:multiLevelType w:val="singleLevel"/>
    <w:tmpl w:val="251DF3EB"/>
    <w:lvl w:ilvl="0" w:tentative="0">
      <w:start w:val="1"/>
      <w:numFmt w:val="chineseCounting"/>
      <w:suff w:val="nothing"/>
      <w:lvlText w:val="%1、"/>
      <w:lvlJc w:val="left"/>
      <w:rPr>
        <w:rFonts w:hint="eastAsia"/>
      </w:rPr>
    </w:lvl>
  </w:abstractNum>
  <w:abstractNum w:abstractNumId="2">
    <w:nsid w:val="2DE66B2E"/>
    <w:multiLevelType w:val="singleLevel"/>
    <w:tmpl w:val="2DE66B2E"/>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3NWM5MTY1ODljNjUwNGQ4Yzc1N2I1MGE3M2ExODMifQ=="/>
  </w:docVars>
  <w:rsids>
    <w:rsidRoot w:val="42C71578"/>
    <w:rsid w:val="00145C0B"/>
    <w:rsid w:val="00194BCB"/>
    <w:rsid w:val="002621C4"/>
    <w:rsid w:val="00283E30"/>
    <w:rsid w:val="003E30E8"/>
    <w:rsid w:val="0043166D"/>
    <w:rsid w:val="0044672A"/>
    <w:rsid w:val="004857A1"/>
    <w:rsid w:val="004A735E"/>
    <w:rsid w:val="004E2EA1"/>
    <w:rsid w:val="00554319"/>
    <w:rsid w:val="006A5FFB"/>
    <w:rsid w:val="006B004C"/>
    <w:rsid w:val="006B1D8D"/>
    <w:rsid w:val="007D09B9"/>
    <w:rsid w:val="007D522D"/>
    <w:rsid w:val="0083309A"/>
    <w:rsid w:val="00897FD8"/>
    <w:rsid w:val="008D183E"/>
    <w:rsid w:val="008F67E0"/>
    <w:rsid w:val="00A0506B"/>
    <w:rsid w:val="00AC4864"/>
    <w:rsid w:val="00AE2ACF"/>
    <w:rsid w:val="00BF577B"/>
    <w:rsid w:val="00CB2C4F"/>
    <w:rsid w:val="00CC6EB5"/>
    <w:rsid w:val="00CF56E8"/>
    <w:rsid w:val="00D479F2"/>
    <w:rsid w:val="00D6001C"/>
    <w:rsid w:val="00D6455C"/>
    <w:rsid w:val="00D742C3"/>
    <w:rsid w:val="00E04AF3"/>
    <w:rsid w:val="00ED4999"/>
    <w:rsid w:val="00EE167A"/>
    <w:rsid w:val="00EF5AC7"/>
    <w:rsid w:val="00F465C6"/>
    <w:rsid w:val="058368B9"/>
    <w:rsid w:val="11FC1C79"/>
    <w:rsid w:val="14D17667"/>
    <w:rsid w:val="236E45C3"/>
    <w:rsid w:val="2B3014A2"/>
    <w:rsid w:val="2CA32D09"/>
    <w:rsid w:val="42C71578"/>
    <w:rsid w:val="44AB0E86"/>
    <w:rsid w:val="4A00775A"/>
    <w:rsid w:val="512F3F6D"/>
    <w:rsid w:val="54D43D99"/>
    <w:rsid w:val="5DA55E94"/>
    <w:rsid w:val="5E0174BC"/>
    <w:rsid w:val="639A59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uiPriority w:val="0"/>
    <w:rPr>
      <w:color w:val="333333"/>
      <w:u w:val="none"/>
    </w:rPr>
  </w:style>
  <w:style w:type="character" w:styleId="8">
    <w:name w:val="Hyperlink"/>
    <w:basedOn w:val="6"/>
    <w:uiPriority w:val="0"/>
    <w:rPr>
      <w:color w:val="333333"/>
      <w:u w:val="none"/>
    </w:rPr>
  </w:style>
  <w:style w:type="character" w:customStyle="1" w:styleId="9">
    <w:name w:val="页眉 Char"/>
    <w:basedOn w:val="6"/>
    <w:link w:val="3"/>
    <w:uiPriority w:val="0"/>
    <w:rPr>
      <w:rFonts w:ascii="Calibri"/>
      <w:kern w:val="2"/>
      <w:sz w:val="18"/>
      <w:szCs w:val="18"/>
    </w:rPr>
  </w:style>
  <w:style w:type="character" w:customStyle="1" w:styleId="10">
    <w:name w:val="页脚 Char"/>
    <w:basedOn w:val="6"/>
    <w:link w:val="2"/>
    <w:uiPriority w:val="0"/>
    <w:rPr>
      <w:rFonts w:ascii="Calibri"/>
      <w:kern w:val="2"/>
      <w:sz w:val="18"/>
      <w:szCs w:val="18"/>
    </w:rPr>
  </w:style>
  <w:style w:type="character" w:customStyle="1" w:styleId="11">
    <w:name w:val="cur"/>
    <w:basedOn w:val="6"/>
    <w:qFormat/>
    <w:uiPriority w:val="0"/>
    <w:rPr>
      <w:shd w:val="clear" w:color="auto" w:fill="FC6643"/>
    </w:rPr>
  </w:style>
  <w:style w:type="character" w:customStyle="1" w:styleId="12">
    <w:name w:val="cur1"/>
    <w:basedOn w:val="6"/>
    <w:qFormat/>
    <w:uiPriority w:val="0"/>
    <w:rPr>
      <w:shd w:val="clear" w:color="auto" w:fill="C00F11"/>
    </w:rPr>
  </w:style>
  <w:style w:type="character" w:customStyle="1" w:styleId="13">
    <w:name w:val="cur2"/>
    <w:basedOn w:val="6"/>
    <w:uiPriority w:val="0"/>
    <w:rPr>
      <w:shd w:val="clear" w:color="auto" w:fill="F2370B"/>
    </w:rPr>
  </w:style>
  <w:style w:type="character" w:customStyle="1" w:styleId="14">
    <w:name w:val="cur3"/>
    <w:basedOn w:val="6"/>
    <w:uiPriority w:val="0"/>
    <w:rPr>
      <w:shd w:val="clear" w:color="auto" w:fill="E32927"/>
    </w:rPr>
  </w:style>
  <w:style w:type="character" w:customStyle="1" w:styleId="15">
    <w:name w:val="a_p_2"/>
    <w:basedOn w:val="6"/>
    <w:qFormat/>
    <w:uiPriority w:val="0"/>
  </w:style>
  <w:style w:type="character" w:customStyle="1" w:styleId="16">
    <w:name w:val="a_p_21"/>
    <w:basedOn w:val="6"/>
    <w:qFormat/>
    <w:uiPriority w:val="0"/>
    <w:rPr>
      <w:sz w:val="18"/>
      <w:szCs w:val="18"/>
    </w:rPr>
  </w:style>
  <w:style w:type="character" w:customStyle="1" w:styleId="17">
    <w:name w:val="ul_li_a_1"/>
    <w:basedOn w:val="6"/>
    <w:qFormat/>
    <w:uiPriority w:val="0"/>
    <w:rPr>
      <w:b/>
      <w:bCs/>
      <w:color w:val="FFFFFF"/>
    </w:rPr>
  </w:style>
  <w:style w:type="character" w:customStyle="1" w:styleId="18">
    <w:name w:val="exap"/>
    <w:basedOn w:val="6"/>
    <w:uiPriority w:val="0"/>
    <w:rPr>
      <w:sz w:val="18"/>
      <w:szCs w:val="18"/>
    </w:rPr>
  </w:style>
  <w:style w:type="character" w:customStyle="1" w:styleId="19">
    <w:name w:val="hover2"/>
    <w:basedOn w:val="6"/>
    <w:qFormat/>
    <w:uiPriority w:val="0"/>
    <w:rPr>
      <w:shd w:val="clear" w:color="auto" w:fill="FC6643"/>
    </w:rPr>
  </w:style>
  <w:style w:type="character" w:customStyle="1" w:styleId="20">
    <w:name w:val="hover3"/>
    <w:basedOn w:val="6"/>
    <w:uiPriority w:val="0"/>
    <w:rPr>
      <w:shd w:val="clear" w:color="auto" w:fill="C00F11"/>
    </w:rPr>
  </w:style>
  <w:style w:type="character" w:customStyle="1" w:styleId="21">
    <w:name w:val="hover4"/>
    <w:basedOn w:val="6"/>
    <w:qFormat/>
    <w:uiPriority w:val="0"/>
    <w:rPr>
      <w:shd w:val="clear" w:color="auto" w:fill="E32927"/>
    </w:rPr>
  </w:style>
  <w:style w:type="character" w:customStyle="1" w:styleId="22">
    <w:name w:val="a_p_1"/>
    <w:basedOn w:val="6"/>
    <w:uiPriority w:val="0"/>
    <w:rPr>
      <w:sz w:val="18"/>
      <w:szCs w:val="18"/>
    </w:rPr>
  </w:style>
  <w:style w:type="character" w:customStyle="1" w:styleId="23">
    <w:name w:val="a_p_3"/>
    <w:basedOn w:val="6"/>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2241</Words>
  <Characters>2362</Characters>
  <Lines>17</Lines>
  <Paragraphs>4</Paragraphs>
  <TotalTime>158</TotalTime>
  <ScaleCrop>false</ScaleCrop>
  <LinksUpToDate>false</LinksUpToDate>
  <CharactersWithSpaces>2369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2018-03-23T02:40:00Z</dcterms:created>
  <dc:creator>散步的鱼</dc:creator>
  <cp:lastModifiedBy>徐嘉喜</cp:lastModifiedBy>
  <cp:lastPrinted>2024-02-26T04:45:00Z</cp:lastPrinted>
  <dcterms:modified xsi:type="dcterms:W3CDTF">2025-05-30T13:46:10Z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E1D8E69A33EB432683256E7B22DE5E14_12</vt:lpwstr>
  </property>
  <property fmtid="{D5CDD505-2E9C-101B-9397-08002B2CF9AE}" pid="4" name="KSOTemplateDocerSaveRecord">
    <vt:lpwstr>eyJoZGlkIjoiNDlhODRiNDE4ZGQwZDUxYTUxMTg0ODViZGJiNmIzNzkiLCJ1c2VySWQiOiI1NTY1MDI4MTgifQ==</vt:lpwstr>
  </property>
</Properties>
</file>