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640" w:firstLineChars="200"/>
        <w:jc w:val="left"/>
        <w:rPr>
          <w:rFonts w:ascii="黑体" w:hAnsi="黑体" w:eastAsia="黑体"/>
          <w:sz w:val="32"/>
          <w:szCs w:val="32"/>
        </w:rPr>
      </w:pPr>
      <w:r>
        <w:rPr>
          <w:rFonts w:hint="eastAsia" w:ascii="黑体" w:hAnsi="黑体" w:eastAsia="黑体"/>
          <w:sz w:val="32"/>
          <w:szCs w:val="32"/>
        </w:rPr>
        <w:t>附件5</w:t>
      </w:r>
    </w:p>
    <w:p>
      <w:pPr>
        <w:spacing w:line="560" w:lineRule="exact"/>
        <w:ind w:firstLine="880" w:firstLineChars="200"/>
        <w:jc w:val="center"/>
        <w:rPr>
          <w:rFonts w:ascii="方正小标宋简体" w:eastAsia="方正小标宋简体"/>
          <w:sz w:val="44"/>
          <w:szCs w:val="44"/>
        </w:rPr>
      </w:pPr>
      <w:r>
        <w:rPr>
          <w:rFonts w:hint="eastAsia" w:ascii="方正小标宋简体" w:eastAsia="方正小标宋简体"/>
          <w:sz w:val="44"/>
          <w:szCs w:val="44"/>
        </w:rPr>
        <w:t>项目支出绩效自评报告</w:t>
      </w:r>
    </w:p>
    <w:p>
      <w:pPr>
        <w:spacing w:line="560" w:lineRule="exact"/>
        <w:ind w:firstLine="640" w:firstLineChars="200"/>
        <w:rPr>
          <w:rFonts w:eastAsia="黑体"/>
          <w:sz w:val="32"/>
          <w:szCs w:val="32"/>
        </w:rPr>
      </w:pPr>
      <w:r>
        <w:rPr>
          <w:rFonts w:hint="eastAsia" w:eastAsia="黑体"/>
          <w:sz w:val="32"/>
          <w:szCs w:val="32"/>
        </w:rPr>
        <w:t>一、项目基本情况</w:t>
      </w:r>
    </w:p>
    <w:p>
      <w:pPr>
        <w:spacing w:line="560" w:lineRule="exact"/>
        <w:ind w:firstLine="643" w:firstLineChars="200"/>
        <w:rPr>
          <w:rFonts w:ascii="楷体_GB2312" w:eastAsia="楷体_GB2312"/>
          <w:b/>
          <w:sz w:val="32"/>
          <w:szCs w:val="32"/>
        </w:rPr>
      </w:pPr>
      <w:r>
        <w:rPr>
          <w:rFonts w:hint="eastAsia" w:ascii="楷体_GB2312" w:eastAsia="楷体_GB2312"/>
          <w:b/>
          <w:sz w:val="32"/>
          <w:szCs w:val="32"/>
        </w:rPr>
        <w:t>（一）项目概况</w:t>
      </w:r>
    </w:p>
    <w:p>
      <w:pPr>
        <w:spacing w:line="560" w:lineRule="exact"/>
        <w:ind w:firstLine="640" w:firstLineChars="200"/>
        <w:rPr>
          <w:rFonts w:ascii="仿宋_GB2312" w:hAnsi="宋体" w:eastAsia="仿宋_GB2312" w:cs="仿宋_GB2312"/>
          <w:color w:val="000000"/>
          <w:spacing w:val="-4"/>
          <w:sz w:val="32"/>
          <w:szCs w:val="32"/>
          <w:shd w:val="clear" w:color="auto" w:fill="FFFFFF"/>
        </w:rPr>
      </w:pPr>
      <w:r>
        <w:rPr>
          <w:rFonts w:hint="eastAsia" w:ascii="仿宋_GB2312" w:hAnsi="宋体" w:eastAsia="仿宋_GB2312" w:cs="仿宋_GB2312"/>
          <w:color w:val="000000"/>
          <w:sz w:val="32"/>
          <w:szCs w:val="32"/>
          <w:shd w:val="clear" w:color="auto" w:fill="FFFFFF"/>
        </w:rPr>
        <w:t>山丹县大马营中心卫生院及花寨子分院和所辖1</w:t>
      </w:r>
      <w:r>
        <w:rPr>
          <w:rFonts w:ascii="仿宋_GB2312" w:hAnsi="宋体" w:eastAsia="仿宋_GB2312" w:cs="仿宋_GB2312"/>
          <w:color w:val="000000"/>
          <w:sz w:val="32"/>
          <w:szCs w:val="32"/>
          <w:shd w:val="clear" w:color="auto" w:fill="FFFFFF"/>
        </w:rPr>
        <w:t>2</w:t>
      </w:r>
      <w:r>
        <w:rPr>
          <w:rFonts w:hint="eastAsia" w:ascii="仿宋_GB2312" w:hAnsi="宋体" w:eastAsia="仿宋_GB2312" w:cs="仿宋_GB2312"/>
          <w:color w:val="000000"/>
          <w:sz w:val="32"/>
          <w:szCs w:val="32"/>
          <w:shd w:val="clear" w:color="auto" w:fill="FFFFFF"/>
        </w:rPr>
        <w:t>个村卫生室</w:t>
      </w:r>
      <w:r>
        <w:rPr>
          <w:rFonts w:hint="eastAsia" w:ascii="仿宋_GB2312" w:hAnsi="宋体" w:eastAsia="仿宋_GB2312" w:cs="仿宋_GB2312"/>
          <w:color w:val="000000"/>
          <w:spacing w:val="-4"/>
          <w:sz w:val="32"/>
          <w:szCs w:val="32"/>
          <w:shd w:val="clear" w:color="auto" w:fill="FFFFFF"/>
        </w:rPr>
        <w:t>是基本公共卫生服务项目的实施主体，辖区</w:t>
      </w:r>
      <w:r>
        <w:rPr>
          <w:rFonts w:hint="eastAsia" w:ascii="仿宋_GB2312" w:hAnsi="宋体" w:eastAsia="仿宋_GB2312" w:cs="仿宋_GB2312"/>
          <w:color w:val="000000"/>
          <w:sz w:val="32"/>
          <w:szCs w:val="32"/>
          <w:shd w:val="clear" w:color="auto" w:fill="FFFFFF"/>
        </w:rPr>
        <w:t>常驻人口</w:t>
      </w:r>
      <w:r>
        <w:rPr>
          <w:rFonts w:ascii="仿宋_GB2312" w:hAnsi="宋体" w:eastAsia="仿宋_GB2312" w:cs="仿宋_GB2312"/>
          <w:color w:val="000000"/>
          <w:sz w:val="32"/>
          <w:szCs w:val="32"/>
          <w:shd w:val="clear" w:color="auto" w:fill="FFFFFF"/>
        </w:rPr>
        <w:t>11183</w:t>
      </w:r>
      <w:r>
        <w:rPr>
          <w:rFonts w:hint="eastAsia" w:ascii="仿宋_GB2312" w:hAnsi="宋体" w:eastAsia="仿宋_GB2312" w:cs="仿宋_GB2312"/>
          <w:color w:val="000000"/>
          <w:sz w:val="32"/>
          <w:szCs w:val="32"/>
          <w:shd w:val="clear" w:color="auto" w:fill="FFFFFF"/>
        </w:rPr>
        <w:t>人，</w:t>
      </w:r>
      <w:r>
        <w:rPr>
          <w:rFonts w:hint="eastAsia" w:ascii="仿宋_GB2312" w:hAnsi="宋体" w:eastAsia="仿宋_GB2312" w:cs="仿宋_GB2312"/>
          <w:color w:val="000000"/>
          <w:spacing w:val="-4"/>
          <w:sz w:val="32"/>
          <w:szCs w:val="32"/>
          <w:shd w:val="clear" w:color="auto" w:fill="FFFFFF"/>
        </w:rPr>
        <w:t>负责为辖区居民提供基本公共卫生服务。</w:t>
      </w:r>
    </w:p>
    <w:p>
      <w:pPr>
        <w:pStyle w:val="2"/>
        <w:spacing w:after="0" w:line="560" w:lineRule="exact"/>
        <w:ind w:left="0" w:leftChars="0" w:firstLine="640" w:firstLineChars="200"/>
      </w:pPr>
      <w:r>
        <w:rPr>
          <w:rFonts w:ascii="仿宋_GB2312" w:hAnsi="宋体" w:cs="仿宋_GB2312"/>
          <w:color w:val="000000"/>
          <w:szCs w:val="32"/>
          <w:shd w:val="clear" w:color="auto" w:fill="FFFFFF"/>
        </w:rPr>
        <w:t>项目内容</w:t>
      </w:r>
      <w:r>
        <w:rPr>
          <w:rFonts w:hint="eastAsia" w:ascii="仿宋_GB2312" w:hAnsi="宋体" w:cs="仿宋_GB2312"/>
          <w:color w:val="000000"/>
          <w:szCs w:val="32"/>
          <w:shd w:val="clear" w:color="auto" w:fill="FFFFFF"/>
        </w:rPr>
        <w:t>包括：居民健康档案管理，健康教育服务，预防接种，传染病及突发公共卫生事件报告和处理，0-6儿童健康管理，孕产妇健康管理，65岁以上老年人健康管理，重性精神疾病健康管理，卫生监督协管，慢性病管理，肺结核管理，中医药健康管理等14类项目</w:t>
      </w:r>
      <w:r>
        <w:rPr>
          <w:rFonts w:hint="eastAsia" w:ascii="仿宋_GB2312" w:hAnsi="宋体" w:cs="仿宋_GB2312"/>
          <w:color w:val="000000"/>
          <w:spacing w:val="-4"/>
          <w:szCs w:val="32"/>
          <w:shd w:val="clear" w:color="auto" w:fill="FFFFFF"/>
        </w:rPr>
        <w:t>。</w:t>
      </w:r>
    </w:p>
    <w:p>
      <w:pPr>
        <w:spacing w:line="560" w:lineRule="exact"/>
        <w:ind w:firstLine="643" w:firstLineChars="200"/>
        <w:rPr>
          <w:rFonts w:ascii="楷体_GB2312" w:eastAsia="楷体_GB2312"/>
          <w:b/>
          <w:sz w:val="32"/>
          <w:szCs w:val="32"/>
        </w:rPr>
      </w:pPr>
      <w:r>
        <w:rPr>
          <w:rFonts w:hint="eastAsia" w:ascii="楷体_GB2312" w:eastAsia="楷体_GB2312"/>
          <w:b/>
          <w:sz w:val="32"/>
          <w:szCs w:val="32"/>
        </w:rPr>
        <w:t>（二）项目绩效目标</w:t>
      </w:r>
    </w:p>
    <w:p>
      <w:pPr>
        <w:spacing w:line="560" w:lineRule="exact"/>
        <w:ind w:firstLine="640" w:firstLineChars="200"/>
        <w:rPr>
          <w:rFonts w:ascii="仿宋_GB2312" w:hAnsi="宋体" w:eastAsia="仿宋_GB2312" w:cs="仿宋_GB2312"/>
          <w:b/>
          <w:bCs/>
          <w:color w:val="000000"/>
          <w:sz w:val="32"/>
          <w:szCs w:val="32"/>
          <w:shd w:val="clear" w:color="auto" w:fill="FFFFFF"/>
        </w:rPr>
      </w:pPr>
      <w:r>
        <w:rPr>
          <w:rFonts w:ascii="仿宋_GB2312" w:hAnsi="宋体" w:eastAsia="仿宋_GB2312" w:cs="仿宋_GB2312"/>
          <w:color w:val="000000"/>
          <w:sz w:val="32"/>
          <w:szCs w:val="32"/>
          <w:shd w:val="clear" w:color="auto" w:fill="FFFFFF"/>
        </w:rPr>
        <w:t>20</w:t>
      </w:r>
      <w:r>
        <w:rPr>
          <w:rFonts w:hint="eastAsia" w:ascii="仿宋_GB2312" w:hAnsi="宋体" w:eastAsia="仿宋_GB2312" w:cs="仿宋_GB2312"/>
          <w:color w:val="000000"/>
          <w:sz w:val="32"/>
          <w:szCs w:val="32"/>
          <w:shd w:val="clear" w:color="auto" w:fill="FFFFFF"/>
        </w:rPr>
        <w:t>23年年初，根据基层医疗卫生机构的人均经费补助标准对基本公共卫生服务项目资金进行年度预算，根据年底  考核结果分值及结合常驻人口清算下达基本公共卫生服务资金。</w:t>
      </w:r>
      <w:r>
        <w:rPr>
          <w:rFonts w:hint="eastAsia" w:ascii="仿宋_GB2312" w:hAnsi="宋体" w:eastAsia="仿宋_GB2312" w:cs="仿宋_GB2312"/>
          <w:b/>
          <w:bCs/>
          <w:color w:val="000000"/>
          <w:sz w:val="32"/>
          <w:szCs w:val="32"/>
          <w:shd w:val="clear" w:color="auto" w:fill="FFFFFF"/>
        </w:rPr>
        <w:t>2023年省级下达基本公共卫生服务资金105.64万元，地方配套下达基本公共卫生服务资金4.04万元，共计下达资金109.68万元，目前已经全部清算下达。</w:t>
      </w:r>
    </w:p>
    <w:p>
      <w:pPr>
        <w:widowControl/>
        <w:shd w:val="clear" w:color="auto" w:fill="FFFFFF"/>
        <w:spacing w:line="560" w:lineRule="exact"/>
        <w:ind w:firstLine="640" w:firstLineChars="200"/>
        <w:jc w:val="left"/>
        <w:rPr>
          <w:rFonts w:ascii="微软雅黑" w:hAnsi="微软雅黑" w:eastAsia="微软雅黑" w:cs="微软雅黑"/>
          <w:color w:val="333333"/>
          <w:sz w:val="24"/>
          <w:szCs w:val="24"/>
        </w:rPr>
      </w:pPr>
      <w:r>
        <w:rPr>
          <w:rFonts w:ascii="仿宋_GB2312" w:hAnsi="微软雅黑" w:eastAsia="仿宋_GB2312" w:cs="仿宋_GB2312"/>
          <w:color w:val="000000"/>
          <w:kern w:val="0"/>
          <w:sz w:val="32"/>
          <w:szCs w:val="32"/>
          <w:shd w:val="clear" w:color="auto" w:fill="FFFFFF"/>
          <w:lang w:bidi="ar"/>
        </w:rPr>
        <w:t>项目依据：《国家基本公共卫生服务规范（</w:t>
      </w:r>
      <w:r>
        <w:rPr>
          <w:rFonts w:hint="eastAsia" w:ascii="仿宋_GB2312" w:hAnsi="微软雅黑" w:eastAsia="仿宋_GB2312" w:cs="仿宋_GB2312"/>
          <w:color w:val="000000"/>
          <w:kern w:val="0"/>
          <w:sz w:val="32"/>
          <w:szCs w:val="32"/>
          <w:shd w:val="clear" w:color="auto" w:fill="FFFFFF"/>
          <w:lang w:bidi="ar"/>
        </w:rPr>
        <w:t>第三版）》。</w:t>
      </w:r>
    </w:p>
    <w:p>
      <w:pPr>
        <w:widowControl/>
        <w:shd w:val="clear" w:color="auto" w:fill="FFFFFF"/>
        <w:spacing w:line="560" w:lineRule="exact"/>
        <w:ind w:firstLine="640" w:firstLineChars="200"/>
        <w:jc w:val="left"/>
        <w:rPr>
          <w:rFonts w:ascii="微软雅黑" w:hAnsi="微软雅黑" w:eastAsia="微软雅黑" w:cs="微软雅黑"/>
          <w:color w:val="333333"/>
          <w:sz w:val="24"/>
          <w:szCs w:val="24"/>
        </w:rPr>
      </w:pPr>
      <w:r>
        <w:rPr>
          <w:rFonts w:hint="eastAsia" w:ascii="仿宋_GB2312" w:hAnsi="微软雅黑" w:eastAsia="仿宋_GB2312" w:cs="仿宋_GB2312"/>
          <w:color w:val="000000"/>
          <w:kern w:val="0"/>
          <w:sz w:val="32"/>
          <w:szCs w:val="32"/>
          <w:shd w:val="clear" w:color="auto" w:fill="FFFFFF"/>
          <w:lang w:bidi="ar"/>
        </w:rPr>
        <w:t>实施目的：通过实施基本公共卫生服务项目，对影响居民健康的主要卫生问题实施干预，减少主要健康危险因素，有效预防和控制主要传染病及慢性病，使城乡居民逐步享有均等化的公共卫生服务。</w:t>
      </w:r>
    </w:p>
    <w:p>
      <w:pPr>
        <w:widowControl/>
        <w:shd w:val="clear" w:color="auto" w:fill="FFFFFF"/>
        <w:spacing w:line="560" w:lineRule="exact"/>
        <w:ind w:firstLine="640" w:firstLineChars="200"/>
        <w:rPr>
          <w:rFonts w:ascii="微软雅黑" w:hAnsi="微软雅黑" w:eastAsia="微软雅黑" w:cs="微软雅黑"/>
          <w:color w:val="333333"/>
          <w:sz w:val="24"/>
          <w:szCs w:val="24"/>
        </w:rPr>
      </w:pPr>
      <w:r>
        <w:rPr>
          <w:rFonts w:hint="eastAsia" w:ascii="仿宋_GB2312" w:hAnsi="微软雅黑" w:eastAsia="仿宋_GB2312" w:cs="仿宋_GB2312"/>
          <w:color w:val="000000"/>
          <w:kern w:val="0"/>
          <w:sz w:val="32"/>
          <w:szCs w:val="32"/>
          <w:shd w:val="clear" w:color="auto" w:fill="FFFFFF"/>
          <w:lang w:bidi="ar"/>
        </w:rPr>
        <w:t>实施范围：辖区内常住居民（指居住半年以上的户籍及非户籍居民），以0-6儿童、孕产妇、老年人、慢性病患者等人群为重点。</w:t>
      </w:r>
    </w:p>
    <w:p>
      <w:pPr>
        <w:widowControl/>
        <w:shd w:val="clear" w:color="auto" w:fill="FFFFFF"/>
        <w:spacing w:line="560" w:lineRule="exact"/>
        <w:ind w:firstLine="640" w:firstLineChars="200"/>
        <w:rPr>
          <w:rFonts w:ascii="微软雅黑" w:hAnsi="微软雅黑" w:eastAsia="微软雅黑" w:cs="微软雅黑"/>
          <w:color w:val="333333"/>
          <w:sz w:val="24"/>
          <w:szCs w:val="24"/>
        </w:rPr>
      </w:pPr>
      <w:r>
        <w:rPr>
          <w:rFonts w:hint="eastAsia" w:ascii="仿宋_GB2312" w:hAnsi="微软雅黑" w:eastAsia="仿宋_GB2312" w:cs="仿宋_GB2312"/>
          <w:color w:val="000000"/>
          <w:kern w:val="0"/>
          <w:sz w:val="32"/>
          <w:szCs w:val="32"/>
          <w:shd w:val="clear" w:color="auto" w:fill="FFFFFF"/>
          <w:lang w:bidi="ar"/>
        </w:rPr>
        <w:t>实施期限：2023年1月1日至2023年12月31日。</w:t>
      </w:r>
    </w:p>
    <w:p>
      <w:pPr>
        <w:widowControl/>
        <w:shd w:val="clear" w:color="auto" w:fill="FFFFFF"/>
        <w:spacing w:line="560" w:lineRule="exact"/>
        <w:ind w:firstLine="640" w:firstLineChars="200"/>
        <w:rPr>
          <w:rFonts w:ascii="微软雅黑" w:hAnsi="微软雅黑" w:eastAsia="微软雅黑" w:cs="微软雅黑"/>
          <w:color w:val="333333"/>
          <w:sz w:val="24"/>
          <w:szCs w:val="24"/>
        </w:rPr>
      </w:pPr>
      <w:r>
        <w:rPr>
          <w:rFonts w:hint="eastAsia" w:ascii="仿宋_GB2312" w:hAnsi="微软雅黑" w:eastAsia="仿宋_GB2312" w:cs="仿宋_GB2312"/>
          <w:color w:val="000000"/>
          <w:kern w:val="0"/>
          <w:sz w:val="32"/>
          <w:szCs w:val="32"/>
          <w:shd w:val="clear" w:color="auto" w:fill="FFFFFF"/>
          <w:lang w:bidi="ar"/>
        </w:rPr>
        <w:t>绩效目标：到2023年底，各项服务达到以下目标：适龄儿童国家免疫规划疫苗接种率保持在90%以上；7岁以下儿童健康管理率85%以上；0-6岁儿童眼保健和视力检查覆盖率90%以上；孕产妇系统管理率90%以上；3岁以下儿童系统管理率80%以上；老年人中医药健康管理率</w:t>
      </w:r>
      <w:r>
        <w:rPr>
          <w:rFonts w:ascii="仿宋_GB2312" w:hAnsi="微软雅黑" w:eastAsia="仿宋_GB2312" w:cs="仿宋_GB2312"/>
          <w:color w:val="000000"/>
          <w:kern w:val="0"/>
          <w:sz w:val="32"/>
          <w:szCs w:val="32"/>
          <w:shd w:val="clear" w:color="auto" w:fill="FFFFFF"/>
          <w:lang w:bidi="ar"/>
        </w:rPr>
        <w:t>92%</w:t>
      </w:r>
      <w:r>
        <w:rPr>
          <w:rFonts w:hint="eastAsia" w:ascii="仿宋_GB2312" w:hAnsi="微软雅黑" w:eastAsia="仿宋_GB2312" w:cs="仿宋_GB2312"/>
          <w:color w:val="000000"/>
          <w:kern w:val="0"/>
          <w:sz w:val="32"/>
          <w:szCs w:val="32"/>
          <w:shd w:val="clear" w:color="auto" w:fill="FFFFFF"/>
          <w:lang w:bidi="ar"/>
        </w:rPr>
        <w:t>以上；儿童中医药健康管理率</w:t>
      </w:r>
      <w:r>
        <w:rPr>
          <w:rFonts w:ascii="仿宋_GB2312" w:hAnsi="微软雅黑" w:eastAsia="仿宋_GB2312" w:cs="仿宋_GB2312"/>
          <w:color w:val="000000"/>
          <w:kern w:val="0"/>
          <w:sz w:val="32"/>
          <w:szCs w:val="32"/>
          <w:shd w:val="clear" w:color="auto" w:fill="FFFFFF"/>
          <w:lang w:bidi="ar"/>
        </w:rPr>
        <w:t>90</w:t>
      </w:r>
      <w:r>
        <w:rPr>
          <w:rFonts w:hint="eastAsia" w:ascii="仿宋_GB2312" w:hAnsi="微软雅黑" w:eastAsia="仿宋_GB2312" w:cs="仿宋_GB2312"/>
          <w:color w:val="000000"/>
          <w:kern w:val="0"/>
          <w:sz w:val="32"/>
          <w:szCs w:val="32"/>
          <w:shd w:val="clear" w:color="auto" w:fill="FFFFFF"/>
          <w:lang w:bidi="ar"/>
        </w:rPr>
        <w:t>%以上；卫生监督协管各专业每年巡查（访）2次完成率90%以上；居民规范化电子健康档案覆盖率</w:t>
      </w:r>
      <w:r>
        <w:rPr>
          <w:rFonts w:ascii="仿宋_GB2312" w:hAnsi="微软雅黑" w:eastAsia="仿宋_GB2312" w:cs="仿宋_GB2312"/>
          <w:color w:val="000000"/>
          <w:kern w:val="0"/>
          <w:sz w:val="32"/>
          <w:szCs w:val="32"/>
          <w:shd w:val="clear" w:color="auto" w:fill="FFFFFF"/>
          <w:lang w:bidi="ar"/>
        </w:rPr>
        <w:t>95</w:t>
      </w:r>
      <w:r>
        <w:rPr>
          <w:rFonts w:hint="eastAsia" w:ascii="仿宋_GB2312" w:hAnsi="微软雅黑" w:eastAsia="仿宋_GB2312" w:cs="仿宋_GB2312"/>
          <w:color w:val="000000"/>
          <w:kern w:val="0"/>
          <w:sz w:val="32"/>
          <w:szCs w:val="32"/>
          <w:shd w:val="clear" w:color="auto" w:fill="FFFFFF"/>
          <w:lang w:bidi="ar"/>
        </w:rPr>
        <w:t>%以上；65岁及以上老年人规范健康管理服务率，高血压、糖尿病患者基层规范管理服务率均达到61%以上；社区在册居家严重精神障碍患者健康管理率</w:t>
      </w:r>
      <w:r>
        <w:rPr>
          <w:rFonts w:ascii="仿宋_GB2312" w:hAnsi="微软雅黑" w:eastAsia="仿宋_GB2312" w:cs="仿宋_GB2312"/>
          <w:color w:val="000000" w:themeColor="text1"/>
          <w:kern w:val="0"/>
          <w:sz w:val="32"/>
          <w:szCs w:val="32"/>
          <w:shd w:val="clear" w:color="auto" w:fill="FFFFFF"/>
          <w:lang w:bidi="ar"/>
        </w:rPr>
        <w:t>95</w:t>
      </w:r>
      <w:r>
        <w:rPr>
          <w:rFonts w:hint="eastAsia" w:ascii="仿宋_GB2312" w:hAnsi="微软雅黑" w:eastAsia="仿宋_GB2312" w:cs="仿宋_GB2312"/>
          <w:color w:val="000000" w:themeColor="text1"/>
          <w:kern w:val="0"/>
          <w:sz w:val="32"/>
          <w:szCs w:val="32"/>
          <w:shd w:val="clear" w:color="auto" w:fill="FFFFFF"/>
          <w:lang w:bidi="ar"/>
        </w:rPr>
        <w:t>%以上；肺结核患者管理率</w:t>
      </w:r>
      <w:r>
        <w:rPr>
          <w:rFonts w:ascii="仿宋_GB2312" w:hAnsi="微软雅黑" w:eastAsia="仿宋_GB2312" w:cs="仿宋_GB2312"/>
          <w:color w:val="000000" w:themeColor="text1"/>
          <w:kern w:val="0"/>
          <w:sz w:val="32"/>
          <w:szCs w:val="32"/>
          <w:shd w:val="clear" w:color="auto" w:fill="FFFFFF"/>
          <w:lang w:bidi="ar"/>
        </w:rPr>
        <w:t>95</w:t>
      </w:r>
      <w:r>
        <w:rPr>
          <w:rFonts w:hint="eastAsia" w:ascii="仿宋_GB2312" w:hAnsi="微软雅黑" w:eastAsia="仿宋_GB2312" w:cs="仿宋_GB2312"/>
          <w:color w:val="000000"/>
          <w:kern w:val="0"/>
          <w:sz w:val="32"/>
          <w:szCs w:val="32"/>
          <w:shd w:val="clear" w:color="auto" w:fill="FFFFFF"/>
          <w:lang w:bidi="ar"/>
        </w:rPr>
        <w:t>%以上；传染病和突发公共卫生事件报告率</w:t>
      </w:r>
      <w:r>
        <w:rPr>
          <w:rFonts w:ascii="仿宋_GB2312" w:hAnsi="微软雅黑" w:eastAsia="仿宋_GB2312" w:cs="仿宋_GB2312"/>
          <w:color w:val="000000"/>
          <w:kern w:val="0"/>
          <w:sz w:val="32"/>
          <w:szCs w:val="32"/>
          <w:shd w:val="clear" w:color="auto" w:fill="FFFFFF"/>
          <w:lang w:bidi="ar"/>
        </w:rPr>
        <w:t>100%</w:t>
      </w:r>
      <w:r>
        <w:rPr>
          <w:rFonts w:hint="eastAsia" w:ascii="仿宋_GB2312" w:hAnsi="微软雅黑" w:eastAsia="仿宋_GB2312" w:cs="仿宋_GB2312"/>
          <w:color w:val="000000"/>
          <w:kern w:val="0"/>
          <w:sz w:val="32"/>
          <w:szCs w:val="32"/>
          <w:shd w:val="clear" w:color="auto" w:fill="FFFFFF"/>
          <w:lang w:bidi="ar"/>
        </w:rPr>
        <w:t>；健康教育完成规定的年度工作任务同时不断提高基本公共卫生服务水平与服务对象满意度，不断缩小城乡居民公共卫生差距。</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二、项目资金情况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主要包括资金计划情况、资金到位情况及资金支出使用情况等内容。</w:t>
      </w:r>
    </w:p>
    <w:p>
      <w:pPr>
        <w:pStyle w:val="13"/>
        <w:numPr>
          <w:ilvl w:val="0"/>
          <w:numId w:val="1"/>
        </w:numPr>
        <w:spacing w:line="560" w:lineRule="exact"/>
        <w:ind w:firstLine="200" w:firstLineChars="0"/>
        <w:rPr>
          <w:rFonts w:ascii="黑体" w:hAnsi="黑体" w:eastAsia="黑体"/>
          <w:sz w:val="32"/>
          <w:szCs w:val="32"/>
        </w:rPr>
      </w:pPr>
      <w:r>
        <w:rPr>
          <w:rFonts w:hint="eastAsia" w:ascii="黑体" w:hAnsi="黑体" w:eastAsia="黑体"/>
          <w:sz w:val="32"/>
          <w:szCs w:val="32"/>
        </w:rPr>
        <w:t>绩效目标完成情况及效益分析</w:t>
      </w:r>
    </w:p>
    <w:p>
      <w:pPr>
        <w:pStyle w:val="7"/>
        <w:adjustRightInd w:val="0"/>
        <w:spacing w:beforeAutospacing="0" w:afterAutospacing="0" w:line="560" w:lineRule="exact"/>
        <w:ind w:firstLine="482" w:firstLineChars="150"/>
        <w:jc w:val="both"/>
        <w:rPr>
          <w:rFonts w:ascii="仿宋_GB2312" w:hAnsi="仿宋_GB2312" w:eastAsia="仿宋_GB2312" w:cs="仿宋_GB2312"/>
          <w:b/>
          <w:bCs/>
          <w:sz w:val="32"/>
          <w:szCs w:val="32"/>
          <w:shd w:val="clear" w:color="auto" w:fill="FFFFFF"/>
        </w:rPr>
      </w:pPr>
      <w:r>
        <w:rPr>
          <w:rFonts w:hint="eastAsia" w:ascii="仿宋_GB2312" w:hAnsi="仿宋_GB2312" w:eastAsia="仿宋_GB2312" w:cs="仿宋_GB2312"/>
          <w:b/>
          <w:bCs/>
          <w:sz w:val="32"/>
          <w:szCs w:val="32"/>
          <w:shd w:val="clear" w:color="auto" w:fill="FFFFFF"/>
        </w:rPr>
        <w:t>（一）资金投入情况分析</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2023年省级下达基本公共卫生服务资金105.64万元，地方配套下达基本公共卫生服务资金4.04万元，共计下达资金109.68万元</w:t>
      </w:r>
    </w:p>
    <w:p>
      <w:pPr>
        <w:pStyle w:val="7"/>
        <w:adjustRightInd w:val="0"/>
        <w:spacing w:beforeAutospacing="0" w:afterAutospacing="0" w:line="560" w:lineRule="exact"/>
        <w:ind w:firstLine="482" w:firstLineChars="150"/>
        <w:jc w:val="both"/>
        <w:rPr>
          <w:rFonts w:ascii="仿宋_GB2312" w:hAnsi="仿宋_GB2312" w:eastAsia="仿宋_GB2312" w:cs="仿宋_GB2312"/>
          <w:b/>
          <w:bCs/>
          <w:sz w:val="32"/>
          <w:szCs w:val="32"/>
          <w:shd w:val="clear" w:color="auto" w:fill="FFFFFF"/>
        </w:rPr>
      </w:pPr>
      <w:r>
        <w:rPr>
          <w:rFonts w:hint="eastAsia" w:ascii="仿宋_GB2312" w:hAnsi="仿宋_GB2312" w:eastAsia="仿宋_GB2312" w:cs="仿宋_GB2312"/>
          <w:b/>
          <w:bCs/>
          <w:sz w:val="32"/>
          <w:szCs w:val="32"/>
          <w:shd w:val="clear" w:color="auto" w:fill="FFFFFF"/>
        </w:rPr>
        <w:t>(二)总体绩效目标完成情况分析</w:t>
      </w:r>
    </w:p>
    <w:p>
      <w:pPr>
        <w:pStyle w:val="7"/>
        <w:adjustRightInd w:val="0"/>
        <w:spacing w:beforeAutospacing="0" w:afterAutospacing="0" w:line="56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1.免费向城乡居民提供基本公共卫生服务。2023年，我镇基本公共卫生服务项目工作，按照国家卫健委、国家中医药管理局、财政部《关于做好2023年国家基本公共卫生服务项目工作的通知》的文件精神，加强组织领导，密切配合，创新工作方式，规范资金管理，工作取得较好成效。</w:t>
      </w:r>
    </w:p>
    <w:p>
      <w:pPr>
        <w:pStyle w:val="7"/>
        <w:adjustRightInd w:val="0"/>
        <w:spacing w:beforeAutospacing="0" w:afterAutospacing="0" w:line="56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通过实施基本公共卫生服务项目，基本公共卫生服务能力得到提升，基本公共卫生服务项目得到较好落实，老百姓获得感不断增强，群众满意度不断提高。人民群众健康意识进一步得到增强，使人人享受到基本公共卫生服务带来的健康实惠。2023年项目的开展，资金支出的管理、使用、产出效益评价均符合标准。</w:t>
      </w:r>
    </w:p>
    <w:p>
      <w:pPr>
        <w:pStyle w:val="7"/>
        <w:adjustRightInd w:val="0"/>
        <w:spacing w:beforeAutospacing="0" w:afterAutospacing="0" w:line="56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2.将基本公卫服务宣传与日常居民健康管理工作结合起来。主动提供基本公卫项目相关咨询服务，普及基本公卫知识，提高基本公卫社会效益及居民政策知晓度和居民满意度，群众综合知晓率达80%以上，服务对象知晓率达90%和满意度达9</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%以上。</w:t>
      </w:r>
    </w:p>
    <w:p>
      <w:pPr>
        <w:pStyle w:val="7"/>
        <w:adjustRightInd w:val="0"/>
        <w:spacing w:beforeAutospacing="0" w:afterAutospacing="0" w:line="560" w:lineRule="exact"/>
        <w:ind w:firstLine="482" w:firstLineChars="150"/>
        <w:jc w:val="both"/>
        <w:rPr>
          <w:rFonts w:ascii="仿宋_GB2312" w:hAnsi="仿宋_GB2312" w:eastAsia="仿宋_GB2312" w:cs="仿宋_GB2312"/>
          <w:b/>
          <w:bCs/>
          <w:sz w:val="32"/>
          <w:szCs w:val="32"/>
          <w:shd w:val="clear" w:color="auto" w:fill="FFFFFF"/>
        </w:rPr>
      </w:pPr>
      <w:r>
        <w:rPr>
          <w:rFonts w:hint="eastAsia" w:ascii="仿宋_GB2312" w:hAnsi="仿宋_GB2312" w:eastAsia="仿宋_GB2312" w:cs="仿宋_GB2312"/>
          <w:b/>
          <w:bCs/>
          <w:sz w:val="32"/>
          <w:szCs w:val="32"/>
          <w:shd w:val="clear" w:color="auto" w:fill="FFFFFF"/>
        </w:rPr>
        <w:t>（三）绩效指标完成情况分析</w:t>
      </w:r>
    </w:p>
    <w:p>
      <w:pPr>
        <w:pStyle w:val="7"/>
        <w:adjustRightInd w:val="0"/>
        <w:spacing w:beforeAutospacing="0" w:afterAutospacing="0" w:line="56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居民健康档案管理：我辖区常住居民人数11183，截止目前，建档人数11357份，建档率101.56%，规范化健康档案建档人数11357份，规范化建档率101.56%。</w:t>
      </w:r>
      <w:r>
        <w:rPr>
          <w:rFonts w:ascii="仿宋_GB2312" w:hAnsi="仿宋_GB2312" w:eastAsia="仿宋_GB2312" w:cs="仿宋_GB2312"/>
          <w:sz w:val="32"/>
          <w:szCs w:val="32"/>
        </w:rPr>
        <w:br w:type="textWrapping"/>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2</w:t>
      </w:r>
      <w:r>
        <w:rPr>
          <w:rFonts w:ascii="仿宋_GB2312" w:hAnsi="仿宋_GB2312" w:eastAsia="仿宋_GB2312" w:cs="仿宋_GB2312"/>
          <w:sz w:val="32"/>
          <w:szCs w:val="32"/>
        </w:rPr>
        <w:t>.健康教育：我院举办健康教育讲座25次，参加人数1083人，健康咨询24次，参加人数 825人，健康工具包培训14次，参加人数371人，健康沙龙13次，村级健康沙龙168次，发放健康教育宣传资料15558份，更换健康教育宣传栏共108期。</w:t>
      </w:r>
      <w:r>
        <w:rPr>
          <w:rFonts w:ascii="仿宋_GB2312" w:hAnsi="仿宋_GB2312" w:eastAsia="仿宋_GB2312" w:cs="仿宋_GB2312"/>
          <w:sz w:val="32"/>
          <w:szCs w:val="32"/>
        </w:rPr>
        <w:br w:type="textWrapping"/>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 xml:space="preserve">3. </w:t>
      </w:r>
      <w:r>
        <w:rPr>
          <w:rFonts w:ascii="仿宋_GB2312" w:hAnsi="仿宋_GB2312" w:eastAsia="仿宋_GB2312" w:cs="仿宋_GB2312"/>
          <w:sz w:val="32"/>
          <w:szCs w:val="32"/>
        </w:rPr>
        <w:t>特殊人群管理：对辖区65岁及以上老年人，共2109人进行登记管理，截止12月底，共体检1955人，体检率92.13%；对已确诊的1882名高血压患者进行登记管理，共体检1611人，健康体检率85.6%；对已确诊的336名糖尿病患者进行登记管理，共体检269人，健康体检率80.06%；对69名严重精神障碍患者进行登记管理、随访和康复指导，患者管理率达100%。</w:t>
      </w:r>
      <w:r>
        <w:rPr>
          <w:rFonts w:ascii="仿宋_GB2312" w:hAnsi="仿宋_GB2312" w:eastAsia="仿宋_GB2312" w:cs="仿宋_GB2312"/>
          <w:sz w:val="32"/>
          <w:szCs w:val="32"/>
        </w:rPr>
        <w:br w:type="textWrapping"/>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4.</w:t>
      </w:r>
      <w:r>
        <w:rPr>
          <w:rFonts w:ascii="仿宋_GB2312" w:hAnsi="仿宋_GB2312" w:eastAsia="仿宋_GB2312" w:cs="仿宋_GB2312"/>
          <w:sz w:val="32"/>
          <w:szCs w:val="32"/>
        </w:rPr>
        <w:t xml:space="preserve"> 强化免疫规划工作</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辖区内0-6岁儿童基础免疫、加强免疫、扩大免疫率均达97%以上，建卡建证率达100%。预防接种副反应上报5例，报告率、及时率均达100%。目前，未发生麻疹病例，共报告传染病18例，报告率、及时率均达100%。结核病5人。</w:t>
      </w:r>
      <w:r>
        <w:rPr>
          <w:rFonts w:ascii="仿宋_GB2312" w:hAnsi="仿宋_GB2312" w:eastAsia="仿宋_GB2312" w:cs="仿宋_GB2312"/>
          <w:sz w:val="32"/>
          <w:szCs w:val="32"/>
        </w:rPr>
        <w:br w:type="textWrapping"/>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5.</w:t>
      </w:r>
      <w:r>
        <w:rPr>
          <w:rFonts w:ascii="仿宋_GB2312" w:hAnsi="仿宋_GB2312" w:eastAsia="仿宋_GB2312" w:cs="仿宋_GB2312"/>
          <w:sz w:val="32"/>
          <w:szCs w:val="32"/>
        </w:rPr>
        <w:t>妇幼健康工作：截止12月底</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孕产妇总数4人，7岁以下儿童243人，5岁以下儿童46人，3岁以下21人，无儿童死亡。</w:t>
      </w:r>
      <w:r>
        <w:rPr>
          <w:rFonts w:ascii="仿宋_GB2312" w:hAnsi="仿宋_GB2312" w:eastAsia="仿宋_GB2312" w:cs="仿宋_GB2312"/>
          <w:sz w:val="32"/>
          <w:szCs w:val="32"/>
        </w:rPr>
        <w:br w:type="textWrapping"/>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6.</w:t>
      </w:r>
      <w:r>
        <w:rPr>
          <w:rFonts w:ascii="仿宋_GB2312" w:hAnsi="仿宋_GB2312" w:eastAsia="仿宋_GB2312" w:cs="仿宋_GB2312"/>
          <w:sz w:val="32"/>
          <w:szCs w:val="32"/>
        </w:rPr>
        <w:t>卫生监督协管服务。充分发挥卫生监督协管作用，积极配合县综合监督执法局主动做好辖区学校卫生、公共场所卫生和医疗市场管理等卫生监督协管工作，开展卫生协管的知识培训5次，巡查医疗机构99次。</w:t>
      </w:r>
      <w:r>
        <w:rPr>
          <w:rFonts w:ascii="仿宋_GB2312" w:hAnsi="仿宋_GB2312" w:eastAsia="仿宋_GB2312" w:cs="仿宋_GB2312"/>
          <w:sz w:val="32"/>
          <w:szCs w:val="32"/>
        </w:rPr>
        <w:br w:type="textWrapping"/>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7.</w:t>
      </w:r>
      <w:r>
        <w:rPr>
          <w:rFonts w:ascii="仿宋_GB2312" w:hAnsi="仿宋_GB2312" w:eastAsia="仿宋_GB2312" w:cs="仿宋_GB2312"/>
          <w:sz w:val="32"/>
          <w:szCs w:val="32"/>
        </w:rPr>
        <w:t>中医药健康管理工作。及时为65岁以上老年人提供中医药健康管理服务，为0-36月龄儿童家长提供中医药健康指导，截止目前，老年人中医药服务人数是1955人，0-36月龄儿童中医药服务人次为21。</w:t>
      </w:r>
      <w:r>
        <w:rPr>
          <w:rFonts w:ascii="仿宋_GB2312" w:hAnsi="仿宋_GB2312" w:eastAsia="仿宋_GB2312" w:cs="仿宋_GB2312"/>
          <w:sz w:val="32"/>
          <w:szCs w:val="32"/>
        </w:rPr>
        <w:br w:type="textWrapping"/>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 xml:space="preserve">8. </w:t>
      </w:r>
      <w:r>
        <w:rPr>
          <w:rFonts w:ascii="仿宋_GB2312" w:hAnsi="仿宋_GB2312" w:eastAsia="仿宋_GB2312" w:cs="仿宋_GB2312"/>
          <w:sz w:val="32"/>
          <w:szCs w:val="32"/>
        </w:rPr>
        <w:t>认真推行家庭医生签约团队服务，我院成立家庭医生团队数15个，常住人口签约人数7033人，签约率62.89%，建档立卡贫困户2564人，完成家庭医生签约2564人，签约率100%，重点人群总人数2905人，签约2861人，签约率89.96%。</w:t>
      </w:r>
    </w:p>
    <w:p>
      <w:pPr>
        <w:pStyle w:val="7"/>
        <w:adjustRightInd w:val="0"/>
        <w:spacing w:beforeAutospacing="0" w:afterAutospacing="0" w:line="560" w:lineRule="exact"/>
        <w:ind w:firstLine="640" w:firstLineChars="200"/>
        <w:jc w:val="both"/>
        <w:rPr>
          <w:rFonts w:ascii="仿宋_GB2312" w:hAnsi="仿宋_GB2312" w:eastAsia="仿宋_GB2312" w:cs="仿宋_GB2312"/>
          <w:sz w:val="32"/>
          <w:szCs w:val="32"/>
        </w:rPr>
      </w:pPr>
      <w:r>
        <w:rPr>
          <w:rFonts w:ascii="仿宋_GB2312" w:hAnsi="仿宋_GB2312" w:eastAsia="仿宋_GB2312" w:cs="仿宋_GB2312"/>
          <w:sz w:val="32"/>
          <w:szCs w:val="32"/>
        </w:rPr>
        <w:t>9</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免费孕前优生检查工作。完成免费孕前优生健康检查项目任务数56 对。</w:t>
      </w:r>
    </w:p>
    <w:p>
      <w:pPr>
        <w:pStyle w:val="7"/>
        <w:widowControl/>
        <w:spacing w:beforeAutospacing="0" w:afterAutospacing="0" w:line="560" w:lineRule="exact"/>
        <w:ind w:firstLine="643" w:firstLineChars="200"/>
        <w:jc w:val="both"/>
        <w:rPr>
          <w:rFonts w:ascii="仿宋_GB2312" w:hAnsi="仿宋_GB2312" w:eastAsia="仿宋_GB2312" w:cs="仿宋_GB2312"/>
          <w:b/>
          <w:bCs/>
          <w:color w:val="333333"/>
          <w:sz w:val="32"/>
          <w:szCs w:val="32"/>
          <w:shd w:val="clear" w:color="auto" w:fill="FFFFFF"/>
        </w:rPr>
      </w:pPr>
      <w:r>
        <w:rPr>
          <w:rFonts w:hint="eastAsia" w:ascii="仿宋_GB2312" w:hAnsi="仿宋_GB2312" w:eastAsia="仿宋_GB2312" w:cs="仿宋_GB2312"/>
          <w:b/>
          <w:bCs/>
          <w:color w:val="333333"/>
          <w:sz w:val="32"/>
          <w:szCs w:val="32"/>
          <w:shd w:val="clear" w:color="auto" w:fill="FFFFFF"/>
        </w:rPr>
        <w:t>（四）绩效评价结论</w:t>
      </w:r>
    </w:p>
    <w:p>
      <w:pPr>
        <w:pStyle w:val="7"/>
        <w:widowControl/>
        <w:spacing w:beforeAutospacing="0" w:afterAutospacing="0" w:line="560" w:lineRule="exact"/>
        <w:ind w:firstLine="640" w:firstLineChars="200"/>
        <w:jc w:val="both"/>
        <w:rPr>
          <w:rFonts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2023年，我院根据年初工作规划和重点工作任务，积极履职，强化管理，较好的完成了年度工作目标。通过加强预算收支管理，不断建立健全内部管理制度，梳理内部管理流程，部门整体支出管理情况得到提升。</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四、自评结论</w:t>
      </w:r>
    </w:p>
    <w:p>
      <w:pPr>
        <w:spacing w:line="560" w:lineRule="exact"/>
        <w:ind w:firstLine="640" w:firstLineChars="200"/>
        <w:rPr>
          <w:rFonts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通过绩效自评，一是增强了绩效评价主体责任意识；促进规范使用项目资金；将评价结果作为改进预算管理和财务管理以及以后年度预算安排的重要依据，对自评中发现的问题进行及时整改，加强预算管理和财务管理，完善管理制度，提高管理水平，增加财政资金使用的经济效益和社会效益。</w:t>
      </w:r>
    </w:p>
    <w:p>
      <w:pPr>
        <w:pStyle w:val="3"/>
        <w:spacing w:line="560" w:lineRule="exact"/>
        <w:rPr>
          <w:rFonts w:hint="eastAsia"/>
        </w:rPr>
      </w:pPr>
    </w:p>
    <w:p>
      <w:pPr>
        <w:pStyle w:val="2"/>
        <w:spacing w:after="0" w:line="560" w:lineRule="exact"/>
        <w:ind w:firstLine="640" w:firstLineChars="200"/>
        <w:rPr>
          <w:rFonts w:ascii="仿宋_GB2312" w:hAnsi="仿宋_GB2312" w:cs="仿宋_GB2312"/>
          <w:color w:val="333333"/>
          <w:kern w:val="0"/>
          <w:szCs w:val="32"/>
          <w:shd w:val="clear" w:color="auto" w:fill="FFFFFF"/>
        </w:rPr>
      </w:pPr>
      <w:r>
        <w:rPr>
          <w:rFonts w:hint="eastAsia" w:ascii="仿宋_GB2312" w:hAnsi="仿宋_GB2312" w:cs="仿宋_GB2312"/>
          <w:color w:val="333333"/>
          <w:kern w:val="0"/>
          <w:szCs w:val="32"/>
          <w:shd w:val="clear" w:color="auto" w:fill="FFFFFF"/>
        </w:rPr>
        <w:t xml:space="preserve">                     山丹县大马营中心卫生院</w:t>
      </w:r>
    </w:p>
    <w:p>
      <w:pPr>
        <w:pStyle w:val="2"/>
        <w:spacing w:after="0" w:line="560" w:lineRule="exact"/>
        <w:ind w:firstLine="4480" w:firstLineChars="1400"/>
      </w:pPr>
      <w:bookmarkStart w:id="0" w:name="_GoBack"/>
      <w:bookmarkEnd w:id="0"/>
      <w:r>
        <w:rPr>
          <w:rFonts w:hint="eastAsia" w:ascii="仿宋_GB2312" w:hAnsi="仿宋_GB2312" w:cs="仿宋_GB2312"/>
          <w:color w:val="333333"/>
          <w:kern w:val="0"/>
          <w:szCs w:val="32"/>
          <w:shd w:val="clear" w:color="auto" w:fill="FFFFFF"/>
        </w:rPr>
        <w:t>2023年12月20日</w:t>
      </w: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3000509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DC6040"/>
    <w:multiLevelType w:val="multilevel"/>
    <w:tmpl w:val="11DC6040"/>
    <w:lvl w:ilvl="0" w:tentative="0">
      <w:start w:val="3"/>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cwMmY1MmJkYTlkN2U1M2U4OGM5ZmJiNWVmNmUyZGUifQ=="/>
  </w:docVars>
  <w:rsids>
    <w:rsidRoot w:val="0ECA2393"/>
    <w:rsid w:val="0001489F"/>
    <w:rsid w:val="00025151"/>
    <w:rsid w:val="0009510D"/>
    <w:rsid w:val="000A7557"/>
    <w:rsid w:val="000C090A"/>
    <w:rsid w:val="001940D5"/>
    <w:rsid w:val="002114C3"/>
    <w:rsid w:val="00286CA1"/>
    <w:rsid w:val="002D2552"/>
    <w:rsid w:val="003A0AB5"/>
    <w:rsid w:val="003C6F23"/>
    <w:rsid w:val="00481F21"/>
    <w:rsid w:val="00530E72"/>
    <w:rsid w:val="00594EC8"/>
    <w:rsid w:val="007B2162"/>
    <w:rsid w:val="00810656"/>
    <w:rsid w:val="00854E14"/>
    <w:rsid w:val="008C120E"/>
    <w:rsid w:val="009471EF"/>
    <w:rsid w:val="00976E20"/>
    <w:rsid w:val="009F449D"/>
    <w:rsid w:val="00A34770"/>
    <w:rsid w:val="00B13D7B"/>
    <w:rsid w:val="00B4239C"/>
    <w:rsid w:val="00C2019A"/>
    <w:rsid w:val="00DA4A61"/>
    <w:rsid w:val="00E430CA"/>
    <w:rsid w:val="00E618F0"/>
    <w:rsid w:val="00EA2F26"/>
    <w:rsid w:val="01955330"/>
    <w:rsid w:val="02A8425B"/>
    <w:rsid w:val="057228FE"/>
    <w:rsid w:val="0ECA2393"/>
    <w:rsid w:val="0FC347E0"/>
    <w:rsid w:val="108D558D"/>
    <w:rsid w:val="12261921"/>
    <w:rsid w:val="1C8A76D0"/>
    <w:rsid w:val="1C9B4714"/>
    <w:rsid w:val="2CC57CA3"/>
    <w:rsid w:val="31615AAE"/>
    <w:rsid w:val="3FBC7555"/>
    <w:rsid w:val="45FE50D6"/>
    <w:rsid w:val="48A614F7"/>
    <w:rsid w:val="585B200A"/>
    <w:rsid w:val="6A3FFBB5"/>
    <w:rsid w:val="6C46335D"/>
    <w:rsid w:val="6FF6087E"/>
    <w:rsid w:val="725072C1"/>
    <w:rsid w:val="737E6598"/>
    <w:rsid w:val="74FB6016"/>
    <w:rsid w:val="77DFB7A8"/>
    <w:rsid w:val="7BE8FDB5"/>
    <w:rsid w:val="7FF69325"/>
    <w:rsid w:val="8D264772"/>
    <w:rsid w:val="97EFF17D"/>
    <w:rsid w:val="97F8F117"/>
    <w:rsid w:val="ADFBFB60"/>
    <w:rsid w:val="D7F640BC"/>
    <w:rsid w:val="E3BF821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Indent 2"/>
    <w:basedOn w:val="1"/>
    <w:next w:val="3"/>
    <w:qFormat/>
    <w:uiPriority w:val="0"/>
    <w:pPr>
      <w:spacing w:after="120" w:line="480" w:lineRule="auto"/>
      <w:ind w:left="420" w:leftChars="200"/>
    </w:pPr>
    <w:rPr>
      <w:rFonts w:ascii="Times New Roman" w:hAnsi="Times New Roman" w:eastAsia="仿宋_GB2312" w:cs="Times New Roman"/>
      <w:sz w:val="32"/>
    </w:rPr>
  </w:style>
  <w:style w:type="paragraph" w:styleId="3">
    <w:name w:val="Body Text"/>
    <w:basedOn w:val="1"/>
    <w:next w:val="4"/>
    <w:qFormat/>
    <w:uiPriority w:val="0"/>
  </w:style>
  <w:style w:type="paragraph" w:styleId="4">
    <w:name w:val="toc 5"/>
    <w:basedOn w:val="1"/>
    <w:next w:val="1"/>
    <w:qFormat/>
    <w:uiPriority w:val="0"/>
    <w:pPr>
      <w:spacing w:line="600" w:lineRule="exact"/>
      <w:ind w:firstLine="720" w:firstLineChars="200"/>
    </w:p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spacing w:beforeAutospacing="1" w:afterAutospacing="1"/>
      <w:jc w:val="left"/>
    </w:pPr>
    <w:rPr>
      <w:rFonts w:cs="Times New Roman"/>
      <w:kern w:val="0"/>
      <w:sz w:val="24"/>
    </w:rPr>
  </w:style>
  <w:style w:type="character" w:customStyle="1" w:styleId="10">
    <w:name w:val="页眉 字符"/>
    <w:basedOn w:val="9"/>
    <w:link w:val="6"/>
    <w:uiPriority w:val="0"/>
    <w:rPr>
      <w:rFonts w:ascii="Calibri"/>
      <w:kern w:val="2"/>
      <w:sz w:val="18"/>
      <w:szCs w:val="18"/>
    </w:rPr>
  </w:style>
  <w:style w:type="character" w:customStyle="1" w:styleId="11">
    <w:name w:val="页脚 字符"/>
    <w:basedOn w:val="9"/>
    <w:link w:val="5"/>
    <w:qFormat/>
    <w:uiPriority w:val="0"/>
    <w:rPr>
      <w:rFonts w:ascii="Calibri"/>
      <w:kern w:val="2"/>
      <w:sz w:val="18"/>
      <w:szCs w:val="18"/>
    </w:rPr>
  </w:style>
  <w:style w:type="character" w:customStyle="1" w:styleId="12">
    <w:name w:val="text-selectable"/>
    <w:basedOn w:val="9"/>
    <w:qFormat/>
    <w:uiPriority w:val="0"/>
  </w:style>
  <w:style w:type="paragraph" w:styleId="13">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2397</Words>
  <Characters>2658</Characters>
  <Lines>19</Lines>
  <Paragraphs>5</Paragraphs>
  <TotalTime>104</TotalTime>
  <ScaleCrop>false</ScaleCrop>
  <LinksUpToDate>false</LinksUpToDate>
  <CharactersWithSpaces>2715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2022-01-19T15:54:00Z</dcterms:created>
  <dc:creator>散步的鱼</dc:creator>
  <cp:lastModifiedBy>石傲天</cp:lastModifiedBy>
  <cp:lastPrinted>2023-12-19T14:33:00Z</cp:lastPrinted>
  <dcterms:modified xsi:type="dcterms:W3CDTF">2024-08-19T07:54:20Z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DC2FAAD9927346D9A6F827C9A214EB4C_12</vt:lpwstr>
  </property>
</Properties>
</file>