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黑体" w:hAnsi="黑体" w:eastAsia="黑体"/>
          <w:sz w:val="32"/>
          <w:szCs w:val="32"/>
        </w:rPr>
      </w:pPr>
      <w:r>
        <w:rPr>
          <w:rFonts w:hint="eastAsia" w:ascii="黑体" w:hAnsi="黑体" w:eastAsia="黑体"/>
          <w:sz w:val="32"/>
          <w:szCs w:val="32"/>
        </w:rPr>
        <w:t>附件5</w:t>
      </w:r>
    </w:p>
    <w:p>
      <w:pPr>
        <w:jc w:val="center"/>
        <w:rPr>
          <w:rFonts w:ascii="方正小标宋简体" w:eastAsia="方正小标宋简体"/>
          <w:sz w:val="44"/>
          <w:szCs w:val="44"/>
        </w:rPr>
      </w:pPr>
      <w:r>
        <w:rPr>
          <w:rFonts w:hint="eastAsia" w:ascii="方正小标宋简体" w:eastAsia="方正小标宋简体"/>
          <w:sz w:val="44"/>
          <w:szCs w:val="44"/>
        </w:rPr>
        <w:t>项目支出绩效自评报告</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eastAsia="黑体"/>
          <w:sz w:val="32"/>
          <w:szCs w:val="32"/>
        </w:rPr>
      </w:pPr>
      <w:r>
        <w:rPr>
          <w:rFonts w:hint="eastAsia" w:eastAsia="黑体"/>
          <w:sz w:val="32"/>
          <w:szCs w:val="32"/>
        </w:rPr>
        <w:t>一、项目基本情况</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b w:val="0"/>
          <w:bCs w:val="0"/>
          <w:i w:val="0"/>
          <w:iCs w:val="0"/>
          <w:caps w:val="0"/>
          <w:color w:val="000000"/>
          <w:spacing w:val="-4"/>
          <w:sz w:val="32"/>
          <w:szCs w:val="32"/>
          <w:shd w:val="clear" w:fill="FFFFFF"/>
        </w:rPr>
      </w:pPr>
      <w:r>
        <w:rPr>
          <w:rFonts w:hint="eastAsia" w:ascii="仿宋_GB2312" w:hAnsi="宋体" w:eastAsia="仿宋_GB2312" w:cs="仿宋_GB2312"/>
          <w:i w:val="0"/>
          <w:iCs w:val="0"/>
          <w:caps w:val="0"/>
          <w:color w:val="000000"/>
          <w:spacing w:val="0"/>
          <w:sz w:val="32"/>
          <w:szCs w:val="32"/>
          <w:shd w:val="clear" w:fill="FFFFFF"/>
          <w:lang w:eastAsia="zh-CN"/>
        </w:rPr>
        <w:t>位奇镇常驻</w:t>
      </w:r>
      <w:r>
        <w:rPr>
          <w:rFonts w:hint="eastAsia" w:ascii="仿宋_GB2312" w:hAnsi="宋体" w:eastAsia="仿宋_GB2312" w:cs="仿宋_GB2312"/>
          <w:i w:val="0"/>
          <w:iCs w:val="0"/>
          <w:caps w:val="0"/>
          <w:color w:val="000000"/>
          <w:spacing w:val="0"/>
          <w:sz w:val="32"/>
          <w:szCs w:val="32"/>
          <w:shd w:val="clear" w:fill="FFFFFF"/>
        </w:rPr>
        <w:t>人口</w:t>
      </w:r>
      <w:r>
        <w:rPr>
          <w:rFonts w:hint="eastAsia" w:ascii="仿宋_GB2312" w:hAnsi="宋体" w:eastAsia="仿宋_GB2312" w:cs="仿宋_GB2312"/>
          <w:i w:val="0"/>
          <w:iCs w:val="0"/>
          <w:caps w:val="0"/>
          <w:color w:val="000000"/>
          <w:spacing w:val="0"/>
          <w:sz w:val="32"/>
          <w:szCs w:val="32"/>
          <w:shd w:val="clear" w:fill="FFFFFF"/>
          <w:lang w:val="en-US" w:eastAsia="zh-CN"/>
        </w:rPr>
        <w:t>17121</w:t>
      </w:r>
      <w:r>
        <w:rPr>
          <w:rFonts w:hint="eastAsia" w:ascii="仿宋_GB2312" w:hAnsi="宋体" w:eastAsia="仿宋_GB2312" w:cs="仿宋_GB2312"/>
          <w:i w:val="0"/>
          <w:iCs w:val="0"/>
          <w:caps w:val="0"/>
          <w:color w:val="000000"/>
          <w:spacing w:val="0"/>
          <w:sz w:val="32"/>
          <w:szCs w:val="32"/>
          <w:shd w:val="clear" w:fill="FFFFFF"/>
        </w:rPr>
        <w:t>人，共有</w:t>
      </w:r>
      <w:r>
        <w:rPr>
          <w:rFonts w:hint="eastAsia" w:ascii="仿宋_GB2312" w:hAnsi="宋体" w:eastAsia="仿宋_GB2312" w:cs="仿宋_GB2312"/>
          <w:i w:val="0"/>
          <w:iCs w:val="0"/>
          <w:caps w:val="0"/>
          <w:color w:val="000000"/>
          <w:spacing w:val="0"/>
          <w:sz w:val="32"/>
          <w:szCs w:val="32"/>
          <w:shd w:val="clear" w:fill="FFFFFF"/>
          <w:lang w:val="en-US" w:eastAsia="zh-CN"/>
        </w:rPr>
        <w:t>1个卫生院和</w:t>
      </w:r>
      <w:r>
        <w:rPr>
          <w:rFonts w:hint="eastAsia" w:ascii="仿宋_GB2312" w:hAnsi="宋体" w:eastAsia="仿宋_GB2312" w:cs="仿宋_GB2312"/>
          <w:b w:val="0"/>
          <w:bCs w:val="0"/>
          <w:i w:val="0"/>
          <w:iCs w:val="0"/>
          <w:caps w:val="0"/>
          <w:color w:val="000000"/>
          <w:spacing w:val="0"/>
          <w:sz w:val="32"/>
          <w:szCs w:val="32"/>
          <w:shd w:val="clear" w:fill="FFFFFF"/>
        </w:rPr>
        <w:t>所辖</w:t>
      </w:r>
      <w:r>
        <w:rPr>
          <w:rFonts w:hint="eastAsia" w:ascii="仿宋_GB2312" w:hAnsi="宋体" w:eastAsia="仿宋_GB2312" w:cs="仿宋_GB2312"/>
          <w:b w:val="0"/>
          <w:bCs w:val="0"/>
          <w:i w:val="0"/>
          <w:iCs w:val="0"/>
          <w:caps w:val="0"/>
          <w:color w:val="000000"/>
          <w:spacing w:val="0"/>
          <w:sz w:val="32"/>
          <w:szCs w:val="32"/>
          <w:shd w:val="clear" w:fill="FFFFFF"/>
          <w:lang w:val="en-US" w:eastAsia="zh-CN"/>
        </w:rPr>
        <w:t>17个</w:t>
      </w:r>
      <w:r>
        <w:rPr>
          <w:rFonts w:hint="eastAsia" w:ascii="仿宋_GB2312" w:hAnsi="宋体" w:eastAsia="仿宋_GB2312" w:cs="仿宋_GB2312"/>
          <w:b w:val="0"/>
          <w:bCs w:val="0"/>
          <w:i w:val="0"/>
          <w:iCs w:val="0"/>
          <w:caps w:val="0"/>
          <w:color w:val="000000"/>
          <w:spacing w:val="0"/>
          <w:sz w:val="32"/>
          <w:szCs w:val="32"/>
          <w:shd w:val="clear" w:fill="FFFFFF"/>
        </w:rPr>
        <w:t>村卫生室</w:t>
      </w:r>
      <w:r>
        <w:rPr>
          <w:rFonts w:hint="eastAsia" w:ascii="仿宋_GB2312" w:hAnsi="宋体" w:eastAsia="仿宋_GB2312" w:cs="仿宋_GB2312"/>
          <w:b w:val="0"/>
          <w:bCs w:val="0"/>
          <w:i w:val="0"/>
          <w:iCs w:val="0"/>
          <w:caps w:val="0"/>
          <w:color w:val="000000"/>
          <w:spacing w:val="-4"/>
          <w:sz w:val="32"/>
          <w:szCs w:val="32"/>
          <w:shd w:val="clear" w:fill="FFFFFF"/>
        </w:rPr>
        <w:t>是基本公共卫生服务项目的实施主体，负责为辖区居民提供基本公共卫生服务。</w:t>
      </w:r>
    </w:p>
    <w:p>
      <w:pPr>
        <w:pStyle w:val="2"/>
        <w:keepNext w:val="0"/>
        <w:keepLines w:val="0"/>
        <w:pageBreakBefore w:val="0"/>
        <w:kinsoku/>
        <w:wordWrap/>
        <w:overflowPunct/>
        <w:topLinePunct w:val="0"/>
        <w:autoSpaceDE/>
        <w:autoSpaceDN/>
        <w:bidi w:val="0"/>
        <w:snapToGrid/>
        <w:spacing w:after="0" w:line="560" w:lineRule="exact"/>
        <w:ind w:left="0" w:leftChars="0" w:right="0" w:firstLine="640" w:firstLineChars="200"/>
        <w:textAlignment w:val="auto"/>
        <w:rPr>
          <w:rFonts w:hint="eastAsia" w:eastAsia="仿宋_GB2312"/>
          <w:lang w:val="en-US" w:eastAsia="zh-CN"/>
        </w:rPr>
      </w:pPr>
      <w:r>
        <w:rPr>
          <w:rFonts w:ascii="仿宋_GB2312" w:hAnsi="宋体" w:eastAsia="仿宋_GB2312" w:cs="仿宋_GB2312"/>
          <w:i w:val="0"/>
          <w:iCs w:val="0"/>
          <w:caps w:val="0"/>
          <w:color w:val="000000"/>
          <w:spacing w:val="0"/>
          <w:sz w:val="32"/>
          <w:szCs w:val="32"/>
          <w:shd w:val="clear" w:fill="FFFFFF"/>
        </w:rPr>
        <w:t>项目内容</w:t>
      </w:r>
      <w:r>
        <w:rPr>
          <w:rFonts w:hint="eastAsia" w:ascii="仿宋_GB2312" w:hAnsi="宋体" w:eastAsia="仿宋_GB2312" w:cs="仿宋_GB2312"/>
          <w:i w:val="0"/>
          <w:iCs w:val="0"/>
          <w:caps w:val="0"/>
          <w:color w:val="000000"/>
          <w:spacing w:val="0"/>
          <w:sz w:val="32"/>
          <w:szCs w:val="32"/>
          <w:shd w:val="clear" w:fill="FFFFFF"/>
        </w:rPr>
        <w:t>包括：居民健康档案管理，健康教育服务，预防接种，传染病及突发公共卫生事件报告和处理，0-6儿童健康管理，孕产妇健康管理，65岁以上老年人健康管理，重性精神疾病健康管理，卫生监督协管，慢性病管理，肺结核管理，中医药健康管理等1</w:t>
      </w:r>
      <w:r>
        <w:rPr>
          <w:rFonts w:hint="eastAsia" w:ascii="仿宋_GB2312" w:hAnsi="宋体" w:cs="仿宋_GB2312"/>
          <w:i w:val="0"/>
          <w:iCs w:val="0"/>
          <w:caps w:val="0"/>
          <w:color w:val="000000"/>
          <w:spacing w:val="0"/>
          <w:sz w:val="32"/>
          <w:szCs w:val="32"/>
          <w:shd w:val="clear" w:fill="FFFFFF"/>
          <w:lang w:val="en-US" w:eastAsia="zh-CN"/>
        </w:rPr>
        <w:t>4</w:t>
      </w:r>
      <w:r>
        <w:rPr>
          <w:rFonts w:hint="eastAsia" w:ascii="仿宋_GB2312" w:hAnsi="宋体" w:eastAsia="仿宋_GB2312" w:cs="仿宋_GB2312"/>
          <w:i w:val="0"/>
          <w:iCs w:val="0"/>
          <w:caps w:val="0"/>
          <w:color w:val="000000"/>
          <w:spacing w:val="0"/>
          <w:sz w:val="32"/>
          <w:szCs w:val="32"/>
          <w:shd w:val="clear" w:fill="FFFFFF"/>
        </w:rPr>
        <w:t>类项目</w:t>
      </w:r>
      <w:r>
        <w:rPr>
          <w:rFonts w:hint="eastAsia" w:ascii="仿宋_GB2312" w:hAnsi="宋体" w:eastAsia="仿宋_GB2312" w:cs="仿宋_GB2312"/>
          <w:b w:val="0"/>
          <w:bCs w:val="0"/>
          <w:i w:val="0"/>
          <w:iCs w:val="0"/>
          <w:caps w:val="0"/>
          <w:color w:val="000000"/>
          <w:spacing w:val="-4"/>
          <w:sz w:val="32"/>
          <w:szCs w:val="32"/>
          <w:shd w:val="clear" w:fill="FFFFFF"/>
        </w:rPr>
        <w:t>。</w:t>
      </w:r>
    </w:p>
    <w:p>
      <w:pPr>
        <w:keepNext w:val="0"/>
        <w:keepLines w:val="0"/>
        <w:pageBreakBefore w:val="0"/>
        <w:kinsoku/>
        <w:wordWrap/>
        <w:overflowPunct/>
        <w:topLinePunct w:val="0"/>
        <w:autoSpaceDE/>
        <w:autoSpaceDN/>
        <w:bidi w:val="0"/>
        <w:snapToGrid/>
        <w:spacing w:line="560" w:lineRule="exact"/>
        <w:ind w:right="0"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hint="eastAsia" w:ascii="仿宋_GB2312" w:hAnsi="宋体" w:eastAsia="仿宋_GB2312" w:cs="仿宋_GB2312"/>
          <w:i w:val="0"/>
          <w:iCs w:val="0"/>
          <w:caps w:val="0"/>
          <w:color w:val="000000"/>
          <w:spacing w:val="0"/>
          <w:sz w:val="32"/>
          <w:szCs w:val="32"/>
          <w:shd w:val="clear" w:fill="FFFFFF"/>
        </w:rPr>
      </w:pPr>
      <w:r>
        <w:rPr>
          <w:rFonts w:ascii="仿宋_GB2312" w:hAnsi="宋体" w:eastAsia="仿宋_GB2312" w:cs="仿宋_GB2312"/>
          <w:i w:val="0"/>
          <w:iCs w:val="0"/>
          <w:caps w:val="0"/>
          <w:color w:val="000000"/>
          <w:spacing w:val="0"/>
          <w:sz w:val="32"/>
          <w:szCs w:val="32"/>
          <w:shd w:val="clear" w:fill="FFFFFF"/>
        </w:rPr>
        <w:t>20</w:t>
      </w:r>
      <w:r>
        <w:rPr>
          <w:rFonts w:hint="eastAsia" w:ascii="仿宋_GB2312" w:hAnsi="宋体" w:eastAsia="仿宋_GB2312" w:cs="仿宋_GB2312"/>
          <w:i w:val="0"/>
          <w:iCs w:val="0"/>
          <w:caps w:val="0"/>
          <w:color w:val="000000"/>
          <w:spacing w:val="0"/>
          <w:sz w:val="32"/>
          <w:szCs w:val="32"/>
          <w:shd w:val="clear" w:fill="FFFFFF"/>
        </w:rPr>
        <w:t>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年年初，根据基层医疗卫生机构的人均经费补助标准对基本公共卫生服务项目资金进行年度预算，根据</w:t>
      </w:r>
      <w:r>
        <w:rPr>
          <w:rFonts w:hint="eastAsia" w:ascii="仿宋_GB2312" w:hAnsi="宋体" w:eastAsia="仿宋_GB2312" w:cs="仿宋_GB2312"/>
          <w:i w:val="0"/>
          <w:iCs w:val="0"/>
          <w:caps w:val="0"/>
          <w:color w:val="000000"/>
          <w:spacing w:val="0"/>
          <w:sz w:val="32"/>
          <w:szCs w:val="32"/>
          <w:shd w:val="clear" w:fill="FFFFFF"/>
          <w:lang w:eastAsia="zh-CN"/>
        </w:rPr>
        <w:t>年底</w:t>
      </w:r>
      <w:r>
        <w:rPr>
          <w:rFonts w:hint="eastAsia" w:ascii="仿宋_GB2312" w:hAnsi="宋体" w:eastAsia="仿宋_GB2312" w:cs="仿宋_GB2312"/>
          <w:i w:val="0"/>
          <w:iCs w:val="0"/>
          <w:caps w:val="0"/>
          <w:color w:val="000000"/>
          <w:spacing w:val="0"/>
          <w:sz w:val="32"/>
          <w:szCs w:val="32"/>
          <w:shd w:val="clear" w:fill="FFFFFF"/>
          <w:lang w:val="en-US" w:eastAsia="zh-CN"/>
        </w:rPr>
        <w:t xml:space="preserve">  </w:t>
      </w:r>
      <w:r>
        <w:rPr>
          <w:rFonts w:hint="eastAsia" w:ascii="仿宋_GB2312" w:hAnsi="宋体" w:eastAsia="仿宋_GB2312" w:cs="仿宋_GB2312"/>
          <w:i w:val="0"/>
          <w:iCs w:val="0"/>
          <w:caps w:val="0"/>
          <w:color w:val="000000"/>
          <w:spacing w:val="0"/>
          <w:sz w:val="32"/>
          <w:szCs w:val="32"/>
          <w:shd w:val="clear" w:fill="FFFFFF"/>
        </w:rPr>
        <w:t>考核结果分值及结</w:t>
      </w:r>
      <w:r>
        <w:rPr>
          <w:rFonts w:hint="eastAsia" w:ascii="仿宋_GB2312" w:hAnsi="宋体" w:eastAsia="仿宋_GB2312" w:cs="仿宋_GB2312"/>
          <w:i w:val="0"/>
          <w:iCs w:val="0"/>
          <w:caps w:val="0"/>
          <w:color w:val="000000"/>
          <w:spacing w:val="0"/>
          <w:sz w:val="32"/>
          <w:szCs w:val="32"/>
          <w:shd w:val="clear" w:fill="FFFFFF"/>
          <w:lang w:eastAsia="zh-CN"/>
        </w:rPr>
        <w:t>合常驻</w:t>
      </w:r>
      <w:r>
        <w:rPr>
          <w:rFonts w:hint="eastAsia" w:ascii="仿宋_GB2312" w:hAnsi="宋体" w:eastAsia="仿宋_GB2312" w:cs="仿宋_GB2312"/>
          <w:i w:val="0"/>
          <w:iCs w:val="0"/>
          <w:caps w:val="0"/>
          <w:color w:val="000000"/>
          <w:spacing w:val="0"/>
          <w:sz w:val="32"/>
          <w:szCs w:val="32"/>
          <w:shd w:val="clear" w:fill="FFFFFF"/>
        </w:rPr>
        <w:t>人口清算下达基本公共卫生服务资金。202</w:t>
      </w:r>
      <w:r>
        <w:rPr>
          <w:rFonts w:hint="eastAsia" w:ascii="仿宋_GB2312" w:hAnsi="宋体" w:eastAsia="仿宋_GB2312" w:cs="仿宋_GB2312"/>
          <w:i w:val="0"/>
          <w:iCs w:val="0"/>
          <w:caps w:val="0"/>
          <w:color w:val="000000"/>
          <w:spacing w:val="0"/>
          <w:sz w:val="32"/>
          <w:szCs w:val="32"/>
          <w:shd w:val="clear" w:fill="FFFFFF"/>
          <w:lang w:val="en-US" w:eastAsia="zh-CN"/>
        </w:rPr>
        <w:t>3</w:t>
      </w:r>
      <w:r>
        <w:rPr>
          <w:rFonts w:hint="eastAsia" w:ascii="仿宋_GB2312" w:hAnsi="宋体" w:eastAsia="仿宋_GB2312" w:cs="仿宋_GB2312"/>
          <w:i w:val="0"/>
          <w:iCs w:val="0"/>
          <w:caps w:val="0"/>
          <w:color w:val="000000"/>
          <w:spacing w:val="0"/>
          <w:sz w:val="32"/>
          <w:szCs w:val="32"/>
          <w:shd w:val="clear" w:fill="FFFFFF"/>
        </w:rPr>
        <w:t>年</w:t>
      </w:r>
      <w:r>
        <w:rPr>
          <w:rFonts w:hint="eastAsia" w:ascii="仿宋_GB2312" w:hAnsi="宋体" w:eastAsia="仿宋_GB2312" w:cs="仿宋_GB2312"/>
          <w:i w:val="0"/>
          <w:iCs w:val="0"/>
          <w:caps w:val="0"/>
          <w:color w:val="000000"/>
          <w:spacing w:val="0"/>
          <w:sz w:val="32"/>
          <w:szCs w:val="32"/>
          <w:shd w:val="clear" w:fill="FFFFFF"/>
          <w:lang w:eastAsia="zh-CN"/>
        </w:rPr>
        <w:t>中央及省级</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137.3</w:t>
      </w:r>
      <w:r>
        <w:rPr>
          <w:rFonts w:hint="eastAsia" w:ascii="仿宋_GB2312" w:hAnsi="宋体" w:eastAsia="仿宋_GB2312" w:cs="仿宋_GB2312"/>
          <w:i w:val="0"/>
          <w:iCs w:val="0"/>
          <w:caps w:val="0"/>
          <w:color w:val="000000"/>
          <w:spacing w:val="0"/>
          <w:sz w:val="32"/>
          <w:szCs w:val="32"/>
          <w:shd w:val="clear" w:fill="FFFFFF"/>
        </w:rPr>
        <w:t>万元，</w:t>
      </w:r>
      <w:r>
        <w:rPr>
          <w:rFonts w:hint="eastAsia" w:ascii="仿宋_GB2312" w:hAnsi="宋体" w:eastAsia="仿宋_GB2312" w:cs="仿宋_GB2312"/>
          <w:i w:val="0"/>
          <w:iCs w:val="0"/>
          <w:caps w:val="0"/>
          <w:color w:val="000000"/>
          <w:spacing w:val="0"/>
          <w:sz w:val="32"/>
          <w:szCs w:val="32"/>
          <w:shd w:val="clear" w:fill="FFFFFF"/>
          <w:lang w:eastAsia="zh-CN"/>
        </w:rPr>
        <w:t>地方配套</w:t>
      </w:r>
      <w:r>
        <w:rPr>
          <w:rFonts w:hint="eastAsia" w:ascii="仿宋_GB2312" w:hAnsi="宋体" w:eastAsia="仿宋_GB2312" w:cs="仿宋_GB2312"/>
          <w:i w:val="0"/>
          <w:iCs w:val="0"/>
          <w:caps w:val="0"/>
          <w:color w:val="000000"/>
          <w:spacing w:val="0"/>
          <w:sz w:val="32"/>
          <w:szCs w:val="32"/>
          <w:shd w:val="clear" w:fill="FFFFFF"/>
        </w:rPr>
        <w:t>下达基本公共卫生服务资金</w:t>
      </w:r>
      <w:r>
        <w:rPr>
          <w:rFonts w:hint="eastAsia" w:ascii="仿宋_GB2312" w:hAnsi="宋体" w:eastAsia="仿宋_GB2312" w:cs="仿宋_GB2312"/>
          <w:i w:val="0"/>
          <w:iCs w:val="0"/>
          <w:caps w:val="0"/>
          <w:color w:val="000000"/>
          <w:spacing w:val="0"/>
          <w:sz w:val="32"/>
          <w:szCs w:val="32"/>
          <w:shd w:val="clear" w:fill="FFFFFF"/>
          <w:lang w:val="en-US" w:eastAsia="zh-CN"/>
        </w:rPr>
        <w:t>6.2</w:t>
      </w:r>
      <w:r>
        <w:rPr>
          <w:rFonts w:hint="eastAsia" w:ascii="仿宋_GB2312" w:hAnsi="宋体" w:eastAsia="仿宋_GB2312" w:cs="仿宋_GB2312"/>
          <w:i w:val="0"/>
          <w:iCs w:val="0"/>
          <w:caps w:val="0"/>
          <w:color w:val="000000"/>
          <w:spacing w:val="0"/>
          <w:sz w:val="32"/>
          <w:szCs w:val="32"/>
          <w:shd w:val="clear" w:fill="FFFFFF"/>
        </w:rPr>
        <w:t>万元，共计下达资金</w:t>
      </w:r>
      <w:r>
        <w:rPr>
          <w:rFonts w:hint="eastAsia" w:ascii="仿宋_GB2312" w:hAnsi="宋体" w:eastAsia="仿宋_GB2312" w:cs="仿宋_GB2312"/>
          <w:i w:val="0"/>
          <w:iCs w:val="0"/>
          <w:caps w:val="0"/>
          <w:color w:val="000000"/>
          <w:spacing w:val="0"/>
          <w:sz w:val="32"/>
          <w:szCs w:val="32"/>
          <w:shd w:val="clear" w:fill="FFFFFF"/>
          <w:lang w:val="en-US" w:eastAsia="zh-CN"/>
        </w:rPr>
        <w:t>143.5</w:t>
      </w:r>
      <w:r>
        <w:rPr>
          <w:rFonts w:hint="eastAsia" w:ascii="仿宋_GB2312" w:hAnsi="宋体" w:eastAsia="仿宋_GB2312" w:cs="仿宋_GB2312"/>
          <w:i w:val="0"/>
          <w:iCs w:val="0"/>
          <w:caps w:val="0"/>
          <w:color w:val="000000"/>
          <w:spacing w:val="0"/>
          <w:sz w:val="32"/>
          <w:szCs w:val="32"/>
          <w:shd w:val="clear" w:fill="FFFFFF"/>
        </w:rPr>
        <w:t>万元，目前已经全部清算下达。</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ascii="仿宋_GB2312" w:hAnsi="微软雅黑" w:eastAsia="仿宋_GB2312" w:cs="仿宋_GB2312"/>
          <w:i w:val="0"/>
          <w:iCs w:val="0"/>
          <w:caps w:val="0"/>
          <w:color w:val="000000"/>
          <w:spacing w:val="0"/>
          <w:kern w:val="0"/>
          <w:sz w:val="32"/>
          <w:szCs w:val="32"/>
          <w:shd w:val="clear" w:fill="FFFFFF"/>
          <w:lang w:val="en-US" w:eastAsia="zh-CN" w:bidi="ar"/>
        </w:rPr>
        <w:t>项目依据：《国家基本公共卫生服务规范（</w:t>
      </w: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第三版）》。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left"/>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实施目的：通过实施基本公共卫生服务项目，对影响居民健康的主要卫生问题实施干预，减少主要健康危险因素，有效预防和控制主要传染病及慢性病，使城乡居民逐步享有均等化的公共卫生服务。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实施范围：辖区内常住居民（指居住半年以上的户籍及非户籍居民），以0-6儿童、孕产妇、老年人、慢性病患者等人群为重点。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实施期限：2023年1月1日至2023年12月31日。</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napToGrid/>
        <w:spacing w:beforeAutospacing="0" w:afterAutospacing="0" w:line="560" w:lineRule="exact"/>
        <w:ind w:left="0" w:right="0" w:firstLine="640" w:firstLineChars="200"/>
        <w:jc w:val="both"/>
        <w:textAlignment w:val="auto"/>
        <w:rPr>
          <w:rFonts w:hint="eastAsia" w:ascii="微软雅黑" w:hAnsi="微软雅黑" w:eastAsia="微软雅黑" w:cs="微软雅黑"/>
          <w:i w:val="0"/>
          <w:iCs w:val="0"/>
          <w:caps w:val="0"/>
          <w:color w:val="333333"/>
          <w:spacing w:val="0"/>
          <w:sz w:val="24"/>
          <w:szCs w:val="24"/>
        </w:rPr>
      </w:pPr>
      <w:r>
        <w:rPr>
          <w:rFonts w:hint="eastAsia" w:ascii="仿宋_GB2312" w:hAnsi="微软雅黑" w:eastAsia="仿宋_GB2312" w:cs="仿宋_GB2312"/>
          <w:i w:val="0"/>
          <w:iCs w:val="0"/>
          <w:caps w:val="0"/>
          <w:color w:val="000000"/>
          <w:spacing w:val="0"/>
          <w:kern w:val="0"/>
          <w:sz w:val="32"/>
          <w:szCs w:val="32"/>
          <w:shd w:val="clear" w:fill="FFFFFF"/>
          <w:lang w:val="en-US" w:eastAsia="zh-CN" w:bidi="ar"/>
        </w:rPr>
        <w:t>绩效目标：到2023年底，各项服务达到以下目标：适龄儿童国家免疫规划疫苗接种率保持在90%以上；7岁以下儿童健康管理率95%以上；0-6岁儿童眼保健和视力检查覆盖率90%以上；孕产妇系统管理率90%以上；老年人中医药健康管理率70%以上；儿童中医药健康管理率77%以上；卫生监督协管各专业每年巡查（访）2次完成率90%以上；居民规范化电子健康档案覆盖率80%以上；65岁及以上老年人规范健康管理服务率，高血压、糖尿病患者基层规范管理服务率均达到61%以上；在册居家严重精神障碍患者健康管理率90%以上；肺结核患者管理率90%以上；传染病和突发公共卫生事件报告率100%；健康教育完成规定的年度工作任务，同时不断提高基本公共卫生服务水平与服务对象满意度，不断缩小城乡居民公共卫生差距。</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143.5</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137.3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6.2万元，</w:t>
      </w:r>
      <w:r>
        <w:rPr>
          <w:rFonts w:hint="eastAsia" w:ascii="仿宋_GB2312" w:hAnsi="仿宋_GB2312" w:eastAsia="仿宋_GB2312" w:cs="仿宋_GB2312"/>
          <w:sz w:val="32"/>
          <w:szCs w:val="32"/>
        </w:rPr>
        <w:t>全部足额到位。</w:t>
      </w:r>
      <w:r>
        <w:rPr>
          <w:rFonts w:hint="eastAsia" w:ascii="仿宋_GB2312" w:hAnsi="仿宋_GB2312" w:eastAsia="仿宋_GB2312" w:cs="仿宋_GB2312"/>
          <w:sz w:val="32"/>
          <w:szCs w:val="32"/>
          <w:lang w:eastAsia="zh-CN"/>
        </w:rPr>
        <w:t>截止</w:t>
      </w:r>
      <w:r>
        <w:rPr>
          <w:rFonts w:hint="eastAsia" w:ascii="仿宋_GB2312" w:hAnsi="仿宋_GB2312" w:eastAsia="仿宋_GB2312" w:cs="仿宋_GB2312"/>
          <w:sz w:val="32"/>
          <w:szCs w:val="32"/>
          <w:lang w:val="en-US" w:eastAsia="zh-CN"/>
        </w:rPr>
        <w:t>2023年12月20日，</w:t>
      </w:r>
      <w:r>
        <w:rPr>
          <w:rFonts w:hint="eastAsia" w:ascii="仿宋_GB2312" w:eastAsia="仿宋_GB2312"/>
          <w:sz w:val="32"/>
          <w:szCs w:val="32"/>
          <w:lang w:val="en-US" w:eastAsia="zh-CN"/>
        </w:rPr>
        <w:t>已全部支付。未发现资金挤占挪用情况，基本达到预定目标。</w:t>
      </w:r>
    </w:p>
    <w:p>
      <w:pPr>
        <w:keepNext w:val="0"/>
        <w:keepLines w:val="0"/>
        <w:pageBreakBefore w:val="0"/>
        <w:kinsoku/>
        <w:wordWrap/>
        <w:overflowPunct/>
        <w:topLinePunct w:val="0"/>
        <w:autoSpaceDE/>
        <w:autoSpaceDN/>
        <w:bidi w:val="0"/>
        <w:snapToGrid/>
        <w:spacing w:line="560" w:lineRule="exact"/>
        <w:ind w:right="0"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3" w:firstLineChars="200"/>
        <w:jc w:val="both"/>
        <w:textAlignment w:val="auto"/>
        <w:rPr>
          <w:rFonts w:ascii="仿宋_GB2312" w:hAnsi="仿宋_GB2312" w:eastAsia="仿宋_GB2312" w:cs="仿宋_GB2312"/>
          <w:b/>
          <w:bCs/>
          <w:sz w:val="32"/>
          <w:szCs w:val="32"/>
          <w:shd w:val="clear" w:color="auto" w:fill="FFFFFF"/>
        </w:rPr>
      </w:pPr>
      <w:r>
        <w:rPr>
          <w:rFonts w:hint="eastAsia" w:ascii="仿宋_GB2312" w:hAnsi="仿宋_GB2312" w:eastAsia="仿宋_GB2312" w:cs="仿宋_GB2312"/>
          <w:b/>
          <w:bCs/>
          <w:sz w:val="32"/>
          <w:szCs w:val="32"/>
          <w:shd w:val="clear" w:color="auto" w:fill="FFFFFF"/>
        </w:rPr>
        <w:t>（一）资金投入情况分析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w:t>
      </w:r>
      <w:r>
        <w:rPr>
          <w:rFonts w:hint="eastAsia" w:ascii="仿宋_GB2312" w:hAnsi="仿宋_GB2312" w:eastAsia="仿宋_GB2312" w:cs="仿宋_GB2312"/>
          <w:sz w:val="32"/>
          <w:szCs w:val="32"/>
          <w:lang w:eastAsia="zh-CN"/>
        </w:rPr>
        <w:t>院</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年财政预算资金共计投入资金</w:t>
      </w:r>
      <w:r>
        <w:rPr>
          <w:rFonts w:hint="eastAsia" w:ascii="仿宋_GB2312" w:eastAsia="仿宋_GB2312"/>
          <w:sz w:val="32"/>
          <w:szCs w:val="32"/>
          <w:lang w:val="en-US" w:eastAsia="zh-CN"/>
        </w:rPr>
        <w:t>143.5</w:t>
      </w:r>
      <w:r>
        <w:rPr>
          <w:rFonts w:hint="eastAsia" w:ascii="仿宋_GB2312" w:hAnsi="仿宋_GB2312" w:eastAsia="仿宋_GB2312" w:cs="仿宋_GB2312"/>
          <w:sz w:val="32"/>
          <w:szCs w:val="32"/>
        </w:rPr>
        <w:t>万元，其中</w:t>
      </w:r>
      <w:r>
        <w:rPr>
          <w:rFonts w:hint="eastAsia" w:ascii="仿宋_GB2312" w:hAnsi="仿宋_GB2312" w:eastAsia="仿宋_GB2312" w:cs="仿宋_GB2312"/>
          <w:sz w:val="32"/>
          <w:szCs w:val="32"/>
          <w:lang w:eastAsia="zh-CN"/>
        </w:rPr>
        <w:t>中央及省级</w:t>
      </w:r>
      <w:r>
        <w:rPr>
          <w:rFonts w:hint="eastAsia" w:ascii="仿宋_GB2312" w:hAnsi="仿宋_GB2312" w:eastAsia="仿宋_GB2312" w:cs="仿宋_GB2312"/>
          <w:sz w:val="32"/>
          <w:szCs w:val="32"/>
        </w:rPr>
        <w:t>补助</w:t>
      </w:r>
      <w:r>
        <w:rPr>
          <w:rFonts w:hint="eastAsia" w:ascii="仿宋_GB2312" w:eastAsia="仿宋_GB2312"/>
          <w:sz w:val="32"/>
          <w:szCs w:val="32"/>
          <w:lang w:val="en-US" w:eastAsia="zh-CN"/>
        </w:rPr>
        <w:t>137.3</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地方配套</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6.2万元，</w:t>
      </w:r>
      <w:r>
        <w:rPr>
          <w:rFonts w:hint="eastAsia" w:ascii="仿宋_GB2312" w:hAnsi="仿宋_GB2312" w:eastAsia="仿宋_GB2312" w:cs="仿宋_GB2312"/>
          <w:sz w:val="32"/>
          <w:szCs w:val="32"/>
        </w:rPr>
        <w:t>财政补助资金全部足额到位。</w:t>
      </w:r>
    </w:p>
    <w:p>
      <w:pPr>
        <w:pStyle w:val="7"/>
        <w:keepNext w:val="0"/>
        <w:keepLines w:val="0"/>
        <w:pageBreakBefore w:val="0"/>
        <w:widowControl/>
        <w:numPr>
          <w:ilvl w:val="0"/>
          <w:numId w:val="1"/>
        </w:numPr>
        <w:kinsoku/>
        <w:wordWrap/>
        <w:overflowPunct/>
        <w:topLinePunct w:val="0"/>
        <w:autoSpaceDE/>
        <w:autoSpaceDN/>
        <w:bidi w:val="0"/>
        <w:snapToGrid/>
        <w:spacing w:beforeAutospacing="0" w:afterAutospacing="0" w:line="560" w:lineRule="exact"/>
        <w:ind w:right="0" w:firstLine="643" w:firstLineChars="200"/>
        <w:jc w:val="both"/>
        <w:textAlignment w:val="auto"/>
        <w:rPr>
          <w:rStyle w:val="12"/>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shd w:val="clear" w:color="auto" w:fill="FFFFFF"/>
        </w:rPr>
        <w:t>总体绩效目标完成情况分析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1.免费向城乡居民提供基本公共卫生服务。202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年，我</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基本公共卫生服务项目工作，按照国家卫健委、国家中医药管理局、财政部《关于做好202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年国家基本公共卫生服务项目工作的通知》</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文件精神，加强组织领导，密切配合，创新工作方式，规范资金管理，工作取得较好成效。</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实施基本公共卫生服务项目，基本公共卫生服务能力得到提升，基本公共卫生服务项目得到较好落实，老百姓获得感不断增强，群众满意度不断提高。人民群众健康意识进一步得到增强，使人人享受到基本公共卫生服务带来的健康实惠。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年项目的开展，资金支出的管理、使用、产出效益评价均符合标准。</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将基本公卫服务宣传与日常居民健康管理工作结合起来。主动提供基本公卫项目相关咨询服务，普及基本公卫知识，提高基本公卫社会效益及居民政策知晓度和居民满意度，群众综合知晓率达80%以上，服务对象知晓率达90%和满意度达</w:t>
      </w:r>
      <w:r>
        <w:rPr>
          <w:rFonts w:hint="eastAsia" w:ascii="仿宋_GB2312" w:hAnsi="仿宋_GB2312" w:eastAsia="仿宋_GB2312" w:cs="仿宋_GB2312"/>
          <w:sz w:val="32"/>
          <w:szCs w:val="32"/>
          <w:lang w:val="en-US" w:eastAsia="zh-CN"/>
        </w:rPr>
        <w:t>80</w:t>
      </w:r>
      <w:r>
        <w:rPr>
          <w:rFonts w:hint="eastAsia" w:ascii="仿宋_GB2312" w:hAnsi="仿宋_GB2312" w:eastAsia="仿宋_GB2312" w:cs="仿宋_GB2312"/>
          <w:sz w:val="32"/>
          <w:szCs w:val="32"/>
        </w:rPr>
        <w:t>%以上。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）绩效指标完成情况分析。</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1.居民健康档案。202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已建立居民规范化电子健康档案</w:t>
      </w:r>
      <w:r>
        <w:rPr>
          <w:rFonts w:hint="eastAsia" w:ascii="仿宋_GB2312" w:hAnsi="仿宋_GB2312" w:eastAsia="仿宋_GB2312" w:cs="仿宋_GB2312"/>
          <w:sz w:val="32"/>
          <w:szCs w:val="32"/>
          <w:lang w:val="en-US" w:eastAsia="zh-CN"/>
        </w:rPr>
        <w:t>17722</w:t>
      </w:r>
      <w:r>
        <w:rPr>
          <w:rFonts w:hint="eastAsia" w:ascii="仿宋_GB2312" w:hAnsi="仿宋_GB2312" w:eastAsia="仿宋_GB2312" w:cs="仿宋_GB2312"/>
          <w:sz w:val="32"/>
          <w:szCs w:val="32"/>
        </w:rPr>
        <w:t>份，建档率</w:t>
      </w:r>
      <w:r>
        <w:rPr>
          <w:rFonts w:hint="eastAsia" w:ascii="仿宋_GB2312" w:hAnsi="仿宋_GB2312" w:eastAsia="仿宋_GB2312" w:cs="仿宋_GB2312"/>
          <w:sz w:val="32"/>
          <w:szCs w:val="32"/>
          <w:lang w:val="en-US" w:eastAsia="zh-CN"/>
        </w:rPr>
        <w:t>103.51</w:t>
      </w:r>
      <w:r>
        <w:rPr>
          <w:rFonts w:hint="eastAsia" w:ascii="仿宋_GB2312" w:hAnsi="仿宋_GB2312" w:eastAsia="仿宋_GB2312" w:cs="仿宋_GB2312"/>
          <w:sz w:val="32"/>
          <w:szCs w:val="32"/>
        </w:rPr>
        <w:t>%，规范建档率9</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%，使用率</w:t>
      </w:r>
      <w:r>
        <w:rPr>
          <w:rFonts w:hint="eastAsia" w:ascii="仿宋_GB2312" w:hAnsi="仿宋_GB2312" w:eastAsia="仿宋_GB2312" w:cs="仿宋_GB2312"/>
          <w:sz w:val="32"/>
          <w:szCs w:val="32"/>
          <w:lang w:val="en-US" w:eastAsia="zh-CN"/>
        </w:rPr>
        <w:t>63.31</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2.健康教育工作。发放健康教育宣传资料</w:t>
      </w:r>
      <w:r>
        <w:rPr>
          <w:rFonts w:hint="eastAsia" w:ascii="仿宋_GB2312" w:hAnsi="仿宋_GB2312" w:eastAsia="仿宋_GB2312" w:cs="仿宋_GB2312"/>
          <w:sz w:val="32"/>
          <w:szCs w:val="32"/>
          <w:lang w:val="en-US" w:eastAsia="zh-CN"/>
        </w:rPr>
        <w:t>25750</w:t>
      </w:r>
      <w:r>
        <w:rPr>
          <w:rFonts w:hint="eastAsia" w:ascii="仿宋_GB2312" w:hAnsi="仿宋_GB2312" w:eastAsia="仿宋_GB2312" w:cs="仿宋_GB2312"/>
          <w:sz w:val="32"/>
          <w:szCs w:val="32"/>
        </w:rPr>
        <w:t>本，利用各种卫生日组织面向公众开展各类健康教育讲座及咨询活动</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次，参与</w:t>
      </w:r>
      <w:r>
        <w:rPr>
          <w:rFonts w:hint="eastAsia" w:ascii="仿宋_GB2312" w:hAnsi="仿宋_GB2312" w:eastAsia="仿宋_GB2312" w:cs="仿宋_GB2312"/>
          <w:sz w:val="32"/>
          <w:szCs w:val="32"/>
          <w:lang w:val="en-US" w:eastAsia="zh-CN"/>
        </w:rPr>
        <w:t>6103</w:t>
      </w:r>
      <w:r>
        <w:rPr>
          <w:rFonts w:hint="eastAsia" w:ascii="仿宋_GB2312" w:hAnsi="仿宋_GB2312" w:eastAsia="仿宋_GB2312" w:cs="仿宋_GB2312"/>
          <w:sz w:val="32"/>
          <w:szCs w:val="32"/>
        </w:rPr>
        <w:t>人。</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3.预防接种工作。0-6岁适龄儿童建卡数</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人，国家免疫规划疫苗接种总剂次</w:t>
      </w:r>
      <w:r>
        <w:rPr>
          <w:rFonts w:hint="eastAsia" w:ascii="仿宋_GB2312" w:hAnsi="仿宋_GB2312" w:eastAsia="仿宋_GB2312" w:cs="仿宋_GB2312"/>
          <w:sz w:val="32"/>
          <w:szCs w:val="32"/>
          <w:lang w:val="en-US" w:eastAsia="zh-CN"/>
        </w:rPr>
        <w:t>365</w:t>
      </w:r>
      <w:r>
        <w:rPr>
          <w:rFonts w:hint="eastAsia" w:ascii="仿宋_GB2312" w:hAnsi="仿宋_GB2312" w:eastAsia="仿宋_GB2312" w:cs="仿宋_GB2312"/>
          <w:sz w:val="32"/>
          <w:szCs w:val="32"/>
        </w:rPr>
        <w:t>针次，国家免疫规划疫苗分剂次接种率达90%以上。</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4.传染病报告和处理工作。全年无甲类传染病发生，法定报告传染病网络报告及时率100%、突发公共卫生事件信息报告和调查处置率100%。</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5.儿童健康管理工作。</w:t>
      </w:r>
      <w:r>
        <w:rPr>
          <w:rFonts w:hint="eastAsia" w:ascii="仿宋_GB2312" w:hAnsi="仿宋_GB2312" w:eastAsia="仿宋_GB2312" w:cs="仿宋_GB2312"/>
          <w:sz w:val="32"/>
          <w:szCs w:val="32"/>
          <w:lang w:val="en-US" w:eastAsia="zh-CN"/>
        </w:rPr>
        <w:t>我院</w:t>
      </w:r>
      <w:r>
        <w:rPr>
          <w:rFonts w:hint="eastAsia" w:ascii="仿宋_GB2312" w:hAnsi="仿宋_GB2312" w:eastAsia="仿宋_GB2312" w:cs="仿宋_GB2312"/>
          <w:sz w:val="32"/>
          <w:szCs w:val="32"/>
        </w:rPr>
        <w:t>0-6岁儿童健康管理人数</w:t>
      </w:r>
      <w:r>
        <w:rPr>
          <w:rFonts w:hint="eastAsia" w:ascii="仿宋_GB2312" w:hAnsi="仿宋_GB2312" w:eastAsia="仿宋_GB2312" w:cs="仿宋_GB2312"/>
          <w:sz w:val="32"/>
          <w:szCs w:val="32"/>
          <w:lang w:val="en-US" w:eastAsia="zh-CN"/>
        </w:rPr>
        <w:t>352</w:t>
      </w:r>
      <w:r>
        <w:rPr>
          <w:rFonts w:hint="eastAsia" w:ascii="仿宋_GB2312" w:hAnsi="仿宋_GB2312" w:eastAsia="仿宋_GB2312" w:cs="仿宋_GB2312"/>
          <w:sz w:val="32"/>
          <w:szCs w:val="32"/>
        </w:rPr>
        <w:t>人，健康管理率达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%，新生儿访视</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人，访视率达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%。0-6岁儿童眼保健和视力检查覆盖率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6.孕产妇健康管理工作。全</w:t>
      </w:r>
      <w:r>
        <w:rPr>
          <w:rFonts w:hint="eastAsia" w:ascii="仿宋_GB2312" w:hAnsi="仿宋_GB2312" w:eastAsia="仿宋_GB2312" w:cs="仿宋_GB2312"/>
          <w:sz w:val="32"/>
          <w:szCs w:val="32"/>
          <w:lang w:val="en-US" w:eastAsia="zh-CN"/>
        </w:rPr>
        <w:t>镇</w:t>
      </w:r>
      <w:r>
        <w:rPr>
          <w:rFonts w:hint="eastAsia" w:ascii="仿宋_GB2312" w:hAnsi="仿宋_GB2312" w:eastAsia="仿宋_GB2312" w:cs="仿宋_GB2312"/>
          <w:sz w:val="32"/>
          <w:szCs w:val="32"/>
        </w:rPr>
        <w:t>活产数</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人，系统管理率达</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%，产后访视人数</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人，产后访视率为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7.老年人健康管理工作。老年人健康管理</w:t>
      </w:r>
      <w:r>
        <w:rPr>
          <w:rFonts w:hint="eastAsia" w:ascii="仿宋_GB2312" w:hAnsi="仿宋_GB2312" w:eastAsia="仿宋_GB2312" w:cs="仿宋_GB2312"/>
          <w:sz w:val="32"/>
          <w:szCs w:val="32"/>
          <w:lang w:val="en-US" w:eastAsia="zh-CN"/>
        </w:rPr>
        <w:t>2835</w:t>
      </w:r>
      <w:r>
        <w:rPr>
          <w:rFonts w:hint="eastAsia" w:ascii="仿宋_GB2312" w:hAnsi="仿宋_GB2312" w:eastAsia="仿宋_GB2312" w:cs="仿宋_GB2312"/>
          <w:sz w:val="32"/>
          <w:szCs w:val="32"/>
        </w:rPr>
        <w:t>人，健康管理率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体检率90.83%</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8.慢性病患者管理工作。年内辖区内已管理的高血压患者</w:t>
      </w:r>
      <w:r>
        <w:rPr>
          <w:rFonts w:hint="eastAsia" w:ascii="仿宋_GB2312" w:hAnsi="仿宋_GB2312" w:eastAsia="仿宋_GB2312" w:cs="仿宋_GB2312"/>
          <w:sz w:val="32"/>
          <w:szCs w:val="32"/>
          <w:lang w:val="en-US" w:eastAsia="zh-CN"/>
        </w:rPr>
        <w:t>2621</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94</w:t>
      </w:r>
      <w:r>
        <w:rPr>
          <w:rFonts w:hint="eastAsia" w:ascii="仿宋_GB2312" w:hAnsi="仿宋_GB2312" w:eastAsia="仿宋_GB2312" w:cs="仿宋_GB2312"/>
          <w:sz w:val="32"/>
          <w:szCs w:val="32"/>
        </w:rPr>
        <w:t>%；年内辖区内已管理的糖尿病患者</w:t>
      </w:r>
      <w:r>
        <w:rPr>
          <w:rFonts w:hint="eastAsia" w:ascii="仿宋_GB2312" w:hAnsi="仿宋_GB2312" w:eastAsia="仿宋_GB2312" w:cs="仿宋_GB2312"/>
          <w:sz w:val="32"/>
          <w:szCs w:val="32"/>
          <w:lang w:val="en-US" w:eastAsia="zh-CN"/>
        </w:rPr>
        <w:t>656</w:t>
      </w:r>
      <w:r>
        <w:rPr>
          <w:rFonts w:hint="eastAsia" w:ascii="仿宋_GB2312" w:hAnsi="仿宋_GB2312" w:eastAsia="仿宋_GB2312" w:cs="仿宋_GB2312"/>
          <w:sz w:val="32"/>
          <w:szCs w:val="32"/>
        </w:rPr>
        <w:t>人，规范管理服务率</w:t>
      </w:r>
      <w:r>
        <w:rPr>
          <w:rFonts w:hint="eastAsia" w:ascii="仿宋_GB2312" w:hAnsi="仿宋_GB2312" w:eastAsia="仿宋_GB2312" w:cs="仿宋_GB2312"/>
          <w:sz w:val="32"/>
          <w:szCs w:val="32"/>
          <w:lang w:val="en-US" w:eastAsia="zh-CN"/>
        </w:rPr>
        <w:t>81.86</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6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9.重性精神病患者管理工作。严重精神障碍患者登记管理</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人，在册患者管理率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%，规范管理率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%，面访率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%，服药率</w:t>
      </w:r>
      <w:r>
        <w:rPr>
          <w:rFonts w:hint="eastAsia" w:ascii="仿宋_GB2312" w:hAnsi="仿宋_GB2312" w:eastAsia="仿宋_GB2312" w:cs="仿宋_GB2312"/>
          <w:sz w:val="32"/>
          <w:szCs w:val="32"/>
          <w:lang w:val="en-US" w:eastAsia="zh-CN"/>
        </w:rPr>
        <w:t>96.7</w:t>
      </w:r>
      <w:r>
        <w:rPr>
          <w:rFonts w:hint="eastAsia" w:ascii="仿宋_GB2312" w:hAnsi="仿宋_GB2312" w:eastAsia="仿宋_GB2312" w:cs="仿宋_GB2312"/>
          <w:sz w:val="32"/>
          <w:szCs w:val="32"/>
        </w:rPr>
        <w:t>%，规律服药率</w:t>
      </w:r>
      <w:r>
        <w:rPr>
          <w:rFonts w:hint="eastAsia" w:ascii="仿宋_GB2312" w:hAnsi="仿宋_GB2312" w:eastAsia="仿宋_GB2312" w:cs="仿宋_GB2312"/>
          <w:sz w:val="32"/>
          <w:szCs w:val="32"/>
          <w:lang w:val="en-US" w:eastAsia="zh-CN"/>
        </w:rPr>
        <w:t>96.7</w:t>
      </w:r>
      <w:r>
        <w:rPr>
          <w:rFonts w:hint="eastAsia" w:ascii="仿宋_GB2312" w:hAnsi="仿宋_GB2312" w:eastAsia="仿宋_GB2312" w:cs="仿宋_GB2312"/>
          <w:sz w:val="32"/>
          <w:szCs w:val="32"/>
        </w:rPr>
        <w:t>%，健康体检率</w:t>
      </w:r>
      <w:r>
        <w:rPr>
          <w:rFonts w:hint="eastAsia" w:ascii="仿宋_GB2312" w:hAnsi="仿宋_GB2312" w:eastAsia="仿宋_GB2312" w:cs="仿宋_GB2312"/>
          <w:sz w:val="32"/>
          <w:szCs w:val="32"/>
          <w:lang w:val="en-US" w:eastAsia="zh-CN"/>
        </w:rPr>
        <w:t>60.12</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48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10.卫生监督协管。明确专职或兼职人员负责卫生监督协管工作，协助开展食源性疾病、饮用水卫生安全、学校卫生、非法行医和非法采供血、计划生育实地巡查</w:t>
      </w:r>
      <w:r>
        <w:rPr>
          <w:rFonts w:hint="eastAsia" w:ascii="仿宋_GB2312" w:hAnsi="仿宋_GB2312" w:eastAsia="仿宋_GB2312" w:cs="仿宋_GB2312"/>
          <w:sz w:val="32"/>
          <w:szCs w:val="32"/>
          <w:lang w:val="en-US" w:eastAsia="zh-CN"/>
        </w:rPr>
        <w:t>295</w:t>
      </w:r>
      <w:r>
        <w:rPr>
          <w:rFonts w:hint="eastAsia" w:ascii="仿宋_GB2312" w:hAnsi="仿宋_GB2312" w:eastAsia="仿宋_GB2312" w:cs="仿宋_GB2312"/>
          <w:sz w:val="32"/>
          <w:szCs w:val="32"/>
        </w:rPr>
        <w:t>次。</w:t>
      </w:r>
    </w:p>
    <w:p>
      <w:pPr>
        <w:pStyle w:val="7"/>
        <w:keepNext w:val="0"/>
        <w:keepLines w:val="0"/>
        <w:pageBreakBefore w:val="0"/>
        <w:kinsoku/>
        <w:wordWrap/>
        <w:overflowPunct/>
        <w:topLinePunct w:val="0"/>
        <w:autoSpaceDE/>
        <w:autoSpaceDN/>
        <w:bidi w:val="0"/>
        <w:adjustRightInd w:val="0"/>
        <w:snapToGrid/>
        <w:spacing w:beforeAutospacing="0" w:afterAutospacing="0" w:line="52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11.中医药健康管理服务。共为</w:t>
      </w:r>
      <w:r>
        <w:rPr>
          <w:rFonts w:hint="eastAsia" w:ascii="仿宋_GB2312" w:hAnsi="仿宋_GB2312" w:eastAsia="仿宋_GB2312" w:cs="仿宋_GB2312"/>
          <w:sz w:val="32"/>
          <w:szCs w:val="32"/>
          <w:lang w:val="en-US" w:eastAsia="zh-CN"/>
        </w:rPr>
        <w:t>2835</w:t>
      </w:r>
      <w:r>
        <w:rPr>
          <w:rFonts w:hint="eastAsia" w:ascii="仿宋_GB2312" w:hAnsi="仿宋_GB2312" w:eastAsia="仿宋_GB2312" w:cs="仿宋_GB2312"/>
          <w:sz w:val="32"/>
          <w:szCs w:val="32"/>
        </w:rPr>
        <w:t>名65岁以上老年人提供了中医体质辨识服务，覆盖率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27</w:t>
      </w:r>
      <w:r>
        <w:rPr>
          <w:rFonts w:hint="eastAsia" w:ascii="仿宋_GB2312" w:hAnsi="仿宋_GB2312" w:eastAsia="仿宋_GB2312" w:cs="仿宋_GB2312"/>
          <w:sz w:val="32"/>
          <w:szCs w:val="32"/>
        </w:rPr>
        <w:t>名0-36个月儿童提供了中医调养服务，覆盖率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7"/>
        <w:keepNext w:val="0"/>
        <w:keepLines w:val="0"/>
        <w:pageBreakBefore w:val="0"/>
        <w:kinsoku/>
        <w:wordWrap/>
        <w:overflowPunct/>
        <w:topLinePunct w:val="0"/>
        <w:autoSpaceDE/>
        <w:autoSpaceDN/>
        <w:bidi w:val="0"/>
        <w:adjustRightInd w:val="0"/>
        <w:snapToGrid/>
        <w:spacing w:beforeAutospacing="0" w:afterAutospacing="0" w:line="52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12.肺结核患者管理工作。已管理的肺结核患者</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例。</w:t>
      </w:r>
    </w:p>
    <w:p>
      <w:pPr>
        <w:pStyle w:val="7"/>
        <w:keepNext w:val="0"/>
        <w:keepLines w:val="0"/>
        <w:pageBreakBefore w:val="0"/>
        <w:kinsoku/>
        <w:wordWrap/>
        <w:overflowPunct/>
        <w:topLinePunct w:val="0"/>
        <w:autoSpaceDE/>
        <w:autoSpaceDN/>
        <w:bidi w:val="0"/>
        <w:adjustRightInd w:val="0"/>
        <w:snapToGrid/>
        <w:spacing w:beforeAutospacing="0" w:afterAutospacing="0" w:line="52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13.家庭医生签约服务。202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年，辖区内共有家庭医生签约团队1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个，共签约65岁及以上老年人</w:t>
      </w:r>
      <w:r>
        <w:rPr>
          <w:rFonts w:hint="eastAsia" w:ascii="仿宋_GB2312" w:hAnsi="仿宋_GB2312" w:eastAsia="仿宋_GB2312" w:cs="仿宋_GB2312"/>
          <w:sz w:val="32"/>
          <w:szCs w:val="32"/>
          <w:lang w:val="en-US" w:eastAsia="zh-CN"/>
        </w:rPr>
        <w:t>2806</w:t>
      </w:r>
      <w:r>
        <w:rPr>
          <w:rFonts w:hint="eastAsia" w:ascii="仿宋_GB2312" w:hAnsi="仿宋_GB2312" w:eastAsia="仿宋_GB2312" w:cs="仿宋_GB2312"/>
          <w:sz w:val="32"/>
          <w:szCs w:val="32"/>
        </w:rPr>
        <w:t>人、慢性四病</w:t>
      </w:r>
      <w:r>
        <w:rPr>
          <w:rFonts w:hint="eastAsia" w:ascii="仿宋_GB2312" w:hAnsi="仿宋_GB2312" w:eastAsia="仿宋_GB2312" w:cs="仿宋_GB2312"/>
          <w:sz w:val="32"/>
          <w:szCs w:val="32"/>
          <w:lang w:val="en-US" w:eastAsia="zh-CN"/>
        </w:rPr>
        <w:t>3280</w:t>
      </w:r>
      <w:r>
        <w:rPr>
          <w:rFonts w:hint="eastAsia" w:ascii="仿宋_GB2312" w:hAnsi="仿宋_GB2312" w:eastAsia="仿宋_GB2312" w:cs="仿宋_GB2312"/>
          <w:sz w:val="32"/>
          <w:szCs w:val="32"/>
        </w:rPr>
        <w:t>人、孕产妇</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人、0-6岁儿童</w:t>
      </w:r>
      <w:r>
        <w:rPr>
          <w:rFonts w:hint="eastAsia" w:ascii="仿宋_GB2312" w:hAnsi="仿宋_GB2312" w:eastAsia="仿宋_GB2312" w:cs="仿宋_GB2312"/>
          <w:sz w:val="32"/>
          <w:szCs w:val="32"/>
          <w:lang w:val="en-US" w:eastAsia="zh-CN"/>
        </w:rPr>
        <w:t>352</w:t>
      </w:r>
      <w:r>
        <w:rPr>
          <w:rFonts w:hint="eastAsia" w:ascii="仿宋_GB2312" w:hAnsi="仿宋_GB2312" w:eastAsia="仿宋_GB2312" w:cs="仿宋_GB2312"/>
          <w:sz w:val="32"/>
          <w:szCs w:val="32"/>
        </w:rPr>
        <w:t>人、计划生育特殊家庭1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人、残疾人</w:t>
      </w:r>
      <w:r>
        <w:rPr>
          <w:rFonts w:hint="eastAsia" w:ascii="仿宋_GB2312" w:hAnsi="仿宋_GB2312" w:eastAsia="仿宋_GB2312" w:cs="仿宋_GB2312"/>
          <w:sz w:val="32"/>
          <w:szCs w:val="32"/>
          <w:lang w:val="en-US" w:eastAsia="zh-CN"/>
        </w:rPr>
        <w:t>557</w:t>
      </w:r>
      <w:r>
        <w:rPr>
          <w:rFonts w:hint="eastAsia" w:ascii="仿宋_GB2312" w:hAnsi="仿宋_GB2312" w:eastAsia="仿宋_GB2312" w:cs="仿宋_GB2312"/>
          <w:sz w:val="32"/>
          <w:szCs w:val="32"/>
        </w:rPr>
        <w:t>人，脱贫户</w:t>
      </w:r>
      <w:r>
        <w:rPr>
          <w:rFonts w:hint="eastAsia" w:ascii="仿宋_GB2312" w:hAnsi="仿宋_GB2312" w:eastAsia="仿宋_GB2312" w:cs="仿宋_GB2312"/>
          <w:sz w:val="32"/>
          <w:szCs w:val="32"/>
          <w:lang w:val="en-US" w:eastAsia="zh-CN"/>
        </w:rPr>
        <w:t>1260</w:t>
      </w:r>
      <w:r>
        <w:rPr>
          <w:rFonts w:hint="eastAsia" w:ascii="仿宋_GB2312" w:hAnsi="仿宋_GB2312" w:eastAsia="仿宋_GB2312" w:cs="仿宋_GB2312"/>
          <w:sz w:val="32"/>
          <w:szCs w:val="32"/>
        </w:rPr>
        <w:t>人、三类人群</w:t>
      </w:r>
      <w:r>
        <w:rPr>
          <w:rFonts w:hint="eastAsia" w:ascii="仿宋_GB2312" w:hAnsi="仿宋_GB2312" w:eastAsia="仿宋_GB2312" w:cs="仿宋_GB2312"/>
          <w:sz w:val="32"/>
          <w:szCs w:val="32"/>
          <w:lang w:val="en-US" w:eastAsia="zh-CN"/>
        </w:rPr>
        <w:t>179</w:t>
      </w:r>
      <w:r>
        <w:rPr>
          <w:rFonts w:hint="eastAsia" w:ascii="仿宋_GB2312" w:hAnsi="仿宋_GB2312" w:eastAsia="仿宋_GB2312" w:cs="仿宋_GB2312"/>
          <w:sz w:val="32"/>
          <w:szCs w:val="32"/>
        </w:rPr>
        <w:t>人，其中签约初级包</w:t>
      </w:r>
      <w:r>
        <w:rPr>
          <w:rFonts w:hint="eastAsia" w:ascii="仿宋_GB2312" w:hAnsi="仿宋_GB2312" w:eastAsia="仿宋_GB2312" w:cs="仿宋_GB2312"/>
          <w:sz w:val="32"/>
          <w:szCs w:val="32"/>
          <w:lang w:val="en-US" w:eastAsia="zh-CN"/>
        </w:rPr>
        <w:t>732</w:t>
      </w:r>
      <w:r>
        <w:rPr>
          <w:rFonts w:hint="eastAsia" w:ascii="仿宋_GB2312" w:hAnsi="仿宋_GB2312" w:eastAsia="仿宋_GB2312" w:cs="仿宋_GB2312"/>
          <w:sz w:val="32"/>
          <w:szCs w:val="32"/>
        </w:rPr>
        <w:t>人，中级包</w:t>
      </w:r>
      <w:r>
        <w:rPr>
          <w:rFonts w:hint="eastAsia" w:ascii="仿宋_GB2312" w:hAnsi="仿宋_GB2312" w:eastAsia="仿宋_GB2312" w:cs="仿宋_GB2312"/>
          <w:sz w:val="32"/>
          <w:szCs w:val="32"/>
          <w:lang w:val="en-US" w:eastAsia="zh-CN"/>
        </w:rPr>
        <w:t>707</w:t>
      </w:r>
      <w:r>
        <w:rPr>
          <w:rFonts w:hint="eastAsia" w:ascii="仿宋_GB2312" w:hAnsi="仿宋_GB2312" w:eastAsia="仿宋_GB2312" w:cs="仿宋_GB2312"/>
          <w:sz w:val="32"/>
          <w:szCs w:val="32"/>
        </w:rPr>
        <w:t>人，并进行每季度1次随访，一般人群落实了基础包服务。</w:t>
      </w:r>
    </w:p>
    <w:p>
      <w:pPr>
        <w:pStyle w:val="7"/>
        <w:keepNext w:val="0"/>
        <w:keepLines w:val="0"/>
        <w:pageBreakBefore w:val="0"/>
        <w:kinsoku/>
        <w:wordWrap/>
        <w:overflowPunct/>
        <w:topLinePunct w:val="0"/>
        <w:autoSpaceDE/>
        <w:autoSpaceDN/>
        <w:bidi w:val="0"/>
        <w:adjustRightInd w:val="0"/>
        <w:snapToGrid/>
        <w:spacing w:beforeAutospacing="0" w:afterAutospacing="0" w:line="520" w:lineRule="exact"/>
        <w:ind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.免费孕前优生检查工作。完成免费孕前优生健康检查项目任务数</w:t>
      </w:r>
      <w:bookmarkStart w:id="0" w:name="_GoBack"/>
      <w:r>
        <w:rPr>
          <w:rFonts w:hint="eastAsia" w:ascii="仿宋_GB2312" w:hAnsi="仿宋_GB2312" w:eastAsia="仿宋_GB2312" w:cs="仿宋_GB2312"/>
          <w:sz w:val="32"/>
          <w:szCs w:val="32"/>
          <w:lang w:val="en-US" w:eastAsia="zh-CN"/>
        </w:rPr>
        <w:t>50</w:t>
      </w:r>
      <w:bookmarkEnd w:id="0"/>
      <w:r>
        <w:rPr>
          <w:rFonts w:hint="eastAsia" w:ascii="仿宋_GB2312" w:hAnsi="仿宋_GB2312" w:eastAsia="仿宋_GB2312" w:cs="仿宋_GB2312"/>
          <w:sz w:val="32"/>
          <w:szCs w:val="32"/>
        </w:rPr>
        <w:t xml:space="preserve"> 对，超额完成年度目标任务数。</w:t>
      </w:r>
    </w:p>
    <w:p>
      <w:pPr>
        <w:pStyle w:val="7"/>
        <w:keepNext w:val="0"/>
        <w:keepLines w:val="0"/>
        <w:pageBreakBefore w:val="0"/>
        <w:widowControl/>
        <w:kinsoku/>
        <w:wordWrap/>
        <w:overflowPunct/>
        <w:topLinePunct w:val="0"/>
        <w:autoSpaceDE/>
        <w:autoSpaceDN/>
        <w:bidi w:val="0"/>
        <w:snapToGrid/>
        <w:spacing w:beforeAutospacing="0" w:afterAutospacing="0" w:line="520" w:lineRule="exact"/>
        <w:ind w:right="0" w:firstLine="643" w:firstLineChars="200"/>
        <w:jc w:val="both"/>
        <w:textAlignment w:val="auto"/>
        <w:rPr>
          <w:rFonts w:ascii="仿宋_GB2312" w:hAnsi="仿宋_GB2312" w:eastAsia="仿宋_GB2312" w:cs="仿宋_GB2312"/>
          <w:b/>
          <w:bCs/>
          <w:color w:val="333333"/>
          <w:sz w:val="32"/>
          <w:szCs w:val="32"/>
          <w:shd w:val="clear" w:color="auto" w:fill="FFFFFF"/>
        </w:rPr>
      </w:pPr>
      <w:r>
        <w:rPr>
          <w:rFonts w:hint="eastAsia" w:ascii="仿宋_GB2312" w:hAnsi="仿宋_GB2312" w:eastAsia="仿宋_GB2312" w:cs="仿宋_GB2312"/>
          <w:b/>
          <w:bCs/>
          <w:color w:val="333333"/>
          <w:sz w:val="32"/>
          <w:szCs w:val="32"/>
          <w:shd w:val="clear" w:color="auto" w:fill="FFFFFF"/>
        </w:rPr>
        <w:t>（四）绩效评价结论</w:t>
      </w:r>
    </w:p>
    <w:p>
      <w:pPr>
        <w:pStyle w:val="7"/>
        <w:keepNext w:val="0"/>
        <w:keepLines w:val="0"/>
        <w:pageBreakBefore w:val="0"/>
        <w:widowControl/>
        <w:kinsoku/>
        <w:wordWrap/>
        <w:overflowPunct/>
        <w:topLinePunct w:val="0"/>
        <w:autoSpaceDE/>
        <w:autoSpaceDN/>
        <w:bidi w:val="0"/>
        <w:snapToGrid/>
        <w:spacing w:beforeAutospacing="0" w:afterAutospacing="0" w:line="520" w:lineRule="exact"/>
        <w:ind w:right="0" w:firstLine="640" w:firstLineChars="200"/>
        <w:jc w:val="both"/>
        <w:textAlignment w:val="auto"/>
        <w:rPr>
          <w:rFonts w:ascii="仿宋_GB2312" w:hAnsi="仿宋_GB2312" w:eastAsia="仿宋_GB2312" w:cs="仿宋_GB2312"/>
          <w:color w:val="333333"/>
          <w:sz w:val="32"/>
          <w:szCs w:val="32"/>
          <w:shd w:val="clear" w:color="auto" w:fill="FFFFFF"/>
        </w:rPr>
      </w:pPr>
      <w:r>
        <w:rPr>
          <w:rFonts w:hint="eastAsia" w:ascii="仿宋_GB2312" w:hAnsi="仿宋_GB2312" w:eastAsia="仿宋_GB2312" w:cs="仿宋_GB2312"/>
          <w:color w:val="333333"/>
          <w:sz w:val="32"/>
          <w:szCs w:val="32"/>
          <w:shd w:val="clear" w:color="auto" w:fill="FFFFFF"/>
        </w:rPr>
        <w:t>202</w:t>
      </w:r>
      <w:r>
        <w:rPr>
          <w:rFonts w:hint="eastAsia" w:ascii="仿宋_GB2312" w:hAnsi="仿宋_GB2312" w:eastAsia="仿宋_GB2312" w:cs="仿宋_GB2312"/>
          <w:color w:val="333333"/>
          <w:sz w:val="32"/>
          <w:szCs w:val="32"/>
          <w:shd w:val="clear" w:color="auto" w:fill="FFFFFF"/>
          <w:lang w:val="en-US" w:eastAsia="zh-CN"/>
        </w:rPr>
        <w:t>3</w:t>
      </w:r>
      <w:r>
        <w:rPr>
          <w:rFonts w:hint="eastAsia" w:ascii="仿宋_GB2312" w:hAnsi="仿宋_GB2312" w:eastAsia="仿宋_GB2312" w:cs="仿宋_GB2312"/>
          <w:color w:val="333333"/>
          <w:sz w:val="32"/>
          <w:szCs w:val="32"/>
          <w:shd w:val="clear" w:color="auto" w:fill="FFFFFF"/>
        </w:rPr>
        <w:t>年，我</w:t>
      </w:r>
      <w:r>
        <w:rPr>
          <w:rFonts w:hint="eastAsia" w:ascii="仿宋_GB2312" w:hAnsi="仿宋_GB2312" w:eastAsia="仿宋_GB2312" w:cs="仿宋_GB2312"/>
          <w:color w:val="333333"/>
          <w:sz w:val="32"/>
          <w:szCs w:val="32"/>
          <w:shd w:val="clear" w:color="auto" w:fill="FFFFFF"/>
          <w:lang w:val="en-US" w:eastAsia="zh-CN"/>
        </w:rPr>
        <w:t>院</w:t>
      </w:r>
      <w:r>
        <w:rPr>
          <w:rFonts w:hint="eastAsia" w:ascii="仿宋_GB2312" w:hAnsi="仿宋_GB2312" w:eastAsia="仿宋_GB2312" w:cs="仿宋_GB2312"/>
          <w:color w:val="333333"/>
          <w:sz w:val="32"/>
          <w:szCs w:val="32"/>
          <w:shd w:val="clear" w:color="auto" w:fill="FFFFFF"/>
        </w:rPr>
        <w:t>根据年初工作规划和重点工作任务，积极履职，强化管理，较好的完成了年度工作目标。通过加强预算收支管理，不断建立健全内部管理制度，梳理内部管理流程，部门整体支出管理情况得到提升。</w:t>
      </w:r>
    </w:p>
    <w:p>
      <w:pPr>
        <w:keepNext w:val="0"/>
        <w:keepLines w:val="0"/>
        <w:pageBreakBefore w:val="0"/>
        <w:kinsoku/>
        <w:wordWrap/>
        <w:overflowPunct/>
        <w:topLinePunct w:val="0"/>
        <w:autoSpaceDE/>
        <w:autoSpaceDN/>
        <w:bidi w:val="0"/>
        <w:snapToGrid/>
        <w:spacing w:line="520" w:lineRule="exact"/>
        <w:ind w:right="0"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kinsoku/>
        <w:wordWrap/>
        <w:overflowPunct/>
        <w:topLinePunct w:val="0"/>
        <w:autoSpaceDE/>
        <w:autoSpaceDN/>
        <w:bidi w:val="0"/>
        <w:snapToGrid/>
        <w:spacing w:line="520" w:lineRule="exact"/>
        <w:ind w:right="0" w:firstLine="640" w:firstLineChars="2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通过绩效自评，一是增强了绩效评价主体责任意识；促进规范使用项目资金；将评价结果作为改进预算管理和财务管理以及以后年度预算安排的重要依据，对自评中发现的问题进行及时整改，加强预算管理和财务管理，完善管理制度，提高管理水平，增加财政资金使用的经济效益和社会效益。</w:t>
      </w:r>
    </w:p>
    <w:p>
      <w:pPr>
        <w:pStyle w:val="2"/>
        <w:keepNext w:val="0"/>
        <w:keepLines w:val="0"/>
        <w:pageBreakBefore w:val="0"/>
        <w:kinsoku/>
        <w:wordWrap/>
        <w:overflowPunct/>
        <w:topLinePunct w:val="0"/>
        <w:autoSpaceDE/>
        <w:autoSpaceDN/>
        <w:bidi w:val="0"/>
        <w:snapToGrid/>
        <w:spacing w:line="520" w:lineRule="exact"/>
        <w:textAlignment w:val="auto"/>
        <w:rPr>
          <w:rFonts w:hint="eastAsia" w:ascii="仿宋_GB2312" w:hAnsi="仿宋_GB2312" w:eastAsia="仿宋_GB2312" w:cs="仿宋_GB2312"/>
          <w:color w:val="333333"/>
          <w:kern w:val="0"/>
          <w:sz w:val="32"/>
          <w:szCs w:val="32"/>
          <w:shd w:val="clear" w:color="auto" w:fill="FFFFFF"/>
          <w:lang w:val="en-US" w:eastAsia="zh-CN" w:bidi="ar-SA"/>
        </w:rPr>
      </w:pPr>
    </w:p>
    <w:p>
      <w:pPr>
        <w:pStyle w:val="3"/>
        <w:keepNext w:val="0"/>
        <w:keepLines w:val="0"/>
        <w:pageBreakBefore w:val="0"/>
        <w:kinsoku/>
        <w:wordWrap/>
        <w:overflowPunct/>
        <w:topLinePunct w:val="0"/>
        <w:autoSpaceDE/>
        <w:autoSpaceDN/>
        <w:bidi w:val="0"/>
        <w:snapToGrid/>
        <w:spacing w:line="520" w:lineRule="exact"/>
        <w:textAlignment w:val="auto"/>
        <w:rPr>
          <w:rFonts w:hint="eastAsia" w:ascii="仿宋_GB2312" w:hAnsi="仿宋_GB2312" w:eastAsia="仿宋_GB2312" w:cs="仿宋_GB2312"/>
          <w:color w:val="333333"/>
          <w:kern w:val="0"/>
          <w:sz w:val="32"/>
          <w:szCs w:val="32"/>
          <w:shd w:val="clear" w:color="auto" w:fill="FFFFFF"/>
          <w:lang w:val="en-US" w:eastAsia="zh-CN" w:bidi="ar-SA"/>
        </w:rPr>
      </w:pPr>
    </w:p>
    <w:p>
      <w:pPr>
        <w:pStyle w:val="4"/>
        <w:keepNext w:val="0"/>
        <w:keepLines w:val="0"/>
        <w:pageBreakBefore w:val="0"/>
        <w:widowControl w:val="0"/>
        <w:kinsoku/>
        <w:wordWrap/>
        <w:overflowPunct/>
        <w:topLinePunct w:val="0"/>
        <w:autoSpaceDE/>
        <w:autoSpaceDN/>
        <w:bidi w:val="0"/>
        <w:adjustRightInd/>
        <w:snapToGrid/>
        <w:spacing w:line="400" w:lineRule="exact"/>
        <w:ind w:firstLine="4480" w:firstLineChars="1400"/>
        <w:textAlignment w:val="auto"/>
        <w:rPr>
          <w:rFonts w:hint="eastAsia" w:ascii="仿宋_GB2312" w:hAnsi="仿宋_GB2312" w:eastAsia="仿宋_GB2312" w:cs="仿宋_GB2312"/>
          <w:color w:val="333333"/>
          <w:kern w:val="0"/>
          <w:sz w:val="32"/>
          <w:szCs w:val="32"/>
          <w:shd w:val="clear" w:color="auto" w:fill="FFFFFF"/>
          <w:lang w:val="en-US" w:eastAsia="zh-CN" w:bidi="ar-SA"/>
        </w:rPr>
      </w:pPr>
      <w:r>
        <w:rPr>
          <w:rFonts w:hint="eastAsia" w:ascii="仿宋_GB2312" w:hAnsi="仿宋_GB2312" w:eastAsia="仿宋_GB2312" w:cs="仿宋_GB2312"/>
          <w:color w:val="333333"/>
          <w:kern w:val="0"/>
          <w:sz w:val="32"/>
          <w:szCs w:val="32"/>
          <w:shd w:val="clear" w:color="auto" w:fill="FFFFFF"/>
          <w:lang w:val="en-US" w:eastAsia="zh-CN" w:bidi="ar-SA"/>
        </w:rPr>
        <w:t>山丹县位奇镇卫生院</w:t>
      </w:r>
    </w:p>
    <w:p>
      <w:pPr>
        <w:keepNext w:val="0"/>
        <w:keepLines w:val="0"/>
        <w:pageBreakBefore w:val="0"/>
        <w:widowControl w:val="0"/>
        <w:kinsoku/>
        <w:wordWrap/>
        <w:overflowPunct/>
        <w:topLinePunct w:val="0"/>
        <w:autoSpaceDE/>
        <w:autoSpaceDN/>
        <w:bidi w:val="0"/>
        <w:adjustRightInd/>
        <w:snapToGrid/>
        <w:spacing w:line="400" w:lineRule="exact"/>
        <w:ind w:firstLine="4800" w:firstLineChars="1500"/>
        <w:textAlignment w:val="auto"/>
        <w:rPr>
          <w:rFonts w:hint="default"/>
          <w:lang w:val="en-US" w:eastAsia="zh-CN"/>
        </w:rPr>
      </w:pPr>
      <w:r>
        <w:rPr>
          <w:rFonts w:hint="eastAsia" w:ascii="仿宋_GB2312" w:hAnsi="仿宋_GB2312" w:eastAsia="仿宋_GB2312" w:cs="仿宋_GB2312"/>
          <w:color w:val="333333"/>
          <w:kern w:val="0"/>
          <w:sz w:val="32"/>
          <w:szCs w:val="32"/>
          <w:shd w:val="clear" w:color="auto" w:fill="FFFFFF"/>
          <w:lang w:val="en-US" w:eastAsia="zh-CN" w:bidi="ar-SA"/>
        </w:rPr>
        <w:t>2023年12月22日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lang w:val="en-US" w:eastAsia="zh-CN"/>
        </w:rPr>
      </w:pP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159EE"/>
    <w:multiLevelType w:val="singleLevel"/>
    <w:tmpl w:val="B59159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2FjZWU4NDljYjZkZDUyNjBkYzQ4NDAzM2MzNTBmNWEifQ=="/>
  </w:docVars>
  <w:rsids>
    <w:rsidRoot w:val="0ECA2393"/>
    <w:rsid w:val="0001489F"/>
    <w:rsid w:val="000A7557"/>
    <w:rsid w:val="000C090A"/>
    <w:rsid w:val="001940D5"/>
    <w:rsid w:val="002114C3"/>
    <w:rsid w:val="00286CA1"/>
    <w:rsid w:val="003C6F23"/>
    <w:rsid w:val="00481F21"/>
    <w:rsid w:val="00530E72"/>
    <w:rsid w:val="00594EC8"/>
    <w:rsid w:val="007B2162"/>
    <w:rsid w:val="00810656"/>
    <w:rsid w:val="00854E14"/>
    <w:rsid w:val="008C120E"/>
    <w:rsid w:val="009471EF"/>
    <w:rsid w:val="00976E20"/>
    <w:rsid w:val="009F449D"/>
    <w:rsid w:val="00A34770"/>
    <w:rsid w:val="00B4239C"/>
    <w:rsid w:val="00C2019A"/>
    <w:rsid w:val="00E430CA"/>
    <w:rsid w:val="00EA2F26"/>
    <w:rsid w:val="01955330"/>
    <w:rsid w:val="02A8425B"/>
    <w:rsid w:val="057228FE"/>
    <w:rsid w:val="0ECA2393"/>
    <w:rsid w:val="0FC347E0"/>
    <w:rsid w:val="108D558D"/>
    <w:rsid w:val="12261921"/>
    <w:rsid w:val="167D0C65"/>
    <w:rsid w:val="1C9B4714"/>
    <w:rsid w:val="252B320F"/>
    <w:rsid w:val="2BCD68A5"/>
    <w:rsid w:val="2CC57CA3"/>
    <w:rsid w:val="31615AAE"/>
    <w:rsid w:val="39A7651E"/>
    <w:rsid w:val="48A614F7"/>
    <w:rsid w:val="589A7317"/>
    <w:rsid w:val="5AE72024"/>
    <w:rsid w:val="6C874CE4"/>
    <w:rsid w:val="725072C1"/>
    <w:rsid w:val="74FB60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next w:val="3"/>
    <w:autoRedefine/>
    <w:qFormat/>
    <w:uiPriority w:val="0"/>
    <w:pPr>
      <w:spacing w:after="120" w:line="480" w:lineRule="auto"/>
      <w:ind w:left="420" w:leftChars="200"/>
    </w:pPr>
    <w:rPr>
      <w:rFonts w:ascii="Times New Roman" w:hAnsi="Times New Roman" w:eastAsia="仿宋_GB2312" w:cs="Times New Roman"/>
      <w:sz w:val="32"/>
    </w:rPr>
  </w:style>
  <w:style w:type="paragraph" w:styleId="3">
    <w:name w:val="Body Text"/>
    <w:basedOn w:val="1"/>
    <w:next w:val="4"/>
    <w:qFormat/>
    <w:uiPriority w:val="0"/>
  </w:style>
  <w:style w:type="paragraph" w:styleId="4">
    <w:name w:val="toc 5"/>
    <w:basedOn w:val="1"/>
    <w:next w:val="1"/>
    <w:qFormat/>
    <w:uiPriority w:val="0"/>
    <w:pPr>
      <w:spacing w:line="600" w:lineRule="exact"/>
      <w:ind w:firstLine="720" w:firstLineChars="200"/>
    </w:p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99"/>
    <w:pPr>
      <w:spacing w:beforeAutospacing="1" w:afterAutospacing="1"/>
      <w:jc w:val="left"/>
    </w:pPr>
    <w:rPr>
      <w:rFonts w:cs="Times New Roman"/>
      <w:kern w:val="0"/>
      <w:sz w:val="24"/>
    </w:rPr>
  </w:style>
  <w:style w:type="character" w:customStyle="1" w:styleId="10">
    <w:name w:val="页眉 Char"/>
    <w:basedOn w:val="9"/>
    <w:link w:val="6"/>
    <w:autoRedefine/>
    <w:qFormat/>
    <w:uiPriority w:val="0"/>
    <w:rPr>
      <w:rFonts w:ascii="Calibri"/>
      <w:kern w:val="2"/>
      <w:sz w:val="18"/>
      <w:szCs w:val="18"/>
    </w:rPr>
  </w:style>
  <w:style w:type="character" w:customStyle="1" w:styleId="11">
    <w:name w:val="页脚 Char"/>
    <w:basedOn w:val="9"/>
    <w:link w:val="5"/>
    <w:autoRedefine/>
    <w:qFormat/>
    <w:uiPriority w:val="0"/>
    <w:rPr>
      <w:rFonts w:ascii="Calibri"/>
      <w:kern w:val="2"/>
      <w:sz w:val="18"/>
      <w:szCs w:val="18"/>
    </w:rPr>
  </w:style>
  <w:style w:type="character" w:customStyle="1" w:styleId="12">
    <w:name w:val="text-selectable"/>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310</Words>
  <Characters>16</Characters>
  <Lines>1</Lines>
  <Paragraphs>1</Paragraphs>
  <TotalTime>31</TotalTime>
  <ScaleCrop>false</ScaleCrop>
  <LinksUpToDate>false</LinksUpToDate>
  <CharactersWithSpaces>325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2022-01-19T07:54:00Z</dcterms:created>
  <dc:creator>散步的鱼</dc:creator>
  <cp:lastModifiedBy>宁静致远</cp:lastModifiedBy>
  <cp:lastPrinted>2023-12-19T06:33:00Z</cp:lastPrinted>
  <dcterms:modified xsi:type="dcterms:W3CDTF">2023-12-22T05:55:01Z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DC2FAAD9927346D9A6F827C9A214EB4C_12</vt:lpwstr>
  </property>
</Properties>
</file>