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609A3">
      <w:pPr>
        <w:keepNext w:val="0"/>
        <w:keepLines w:val="0"/>
        <w:pageBreakBefore w:val="0"/>
        <w:kinsoku/>
        <w:wordWrap/>
        <w:overflowPunct/>
        <w:topLinePunct w:val="0"/>
        <w:autoSpaceDE/>
        <w:autoSpaceDN/>
        <w:bidi w:val="0"/>
        <w:snapToGrid/>
        <w:spacing w:line="600" w:lineRule="exact"/>
        <w:ind w:left="0" w:leftChars="0"/>
        <w:jc w:val="left"/>
        <w:textAlignment w:val="auto"/>
        <w:rPr>
          <w:rFonts w:ascii="黑体" w:hAnsi="黑体" w:eastAsia="黑体"/>
          <w:sz w:val="32"/>
          <w:szCs w:val="32"/>
        </w:rPr>
      </w:pPr>
      <w:r>
        <w:rPr>
          <w:rFonts w:hint="eastAsia" w:ascii="黑体" w:hAnsi="黑体" w:eastAsia="黑体"/>
          <w:sz w:val="32"/>
          <w:szCs w:val="32"/>
        </w:rPr>
        <w:t>附件5</w:t>
      </w:r>
    </w:p>
    <w:p w14:paraId="31DFFBD5">
      <w:pPr>
        <w:keepNext w:val="0"/>
        <w:keepLines w:val="0"/>
        <w:pageBreakBefore w:val="0"/>
        <w:kinsoku/>
        <w:wordWrap/>
        <w:overflowPunct/>
        <w:topLinePunct w:val="0"/>
        <w:autoSpaceDE/>
        <w:autoSpaceDN/>
        <w:bidi w:val="0"/>
        <w:snapToGrid/>
        <w:spacing w:line="600" w:lineRule="exact"/>
        <w:ind w:left="0" w:leftChars="0"/>
        <w:jc w:val="center"/>
        <w:textAlignment w:val="auto"/>
        <w:rPr>
          <w:rFonts w:hint="eastAsia" w:ascii="方正小标宋简体" w:eastAsia="方正小标宋简体"/>
          <w:sz w:val="44"/>
          <w:szCs w:val="44"/>
          <w:highlight w:val="none"/>
          <w:lang w:eastAsia="zh-CN"/>
        </w:rPr>
      </w:pPr>
      <w:r>
        <w:rPr>
          <w:rFonts w:hint="eastAsia" w:ascii="方正小标宋简体" w:eastAsia="方正小标宋简体"/>
          <w:sz w:val="44"/>
          <w:szCs w:val="44"/>
          <w:highlight w:val="none"/>
          <w:lang w:eastAsia="zh-CN"/>
        </w:rPr>
        <w:t>山丹县霍城镇卫生院</w:t>
      </w:r>
    </w:p>
    <w:p w14:paraId="1C879996">
      <w:pPr>
        <w:keepNext w:val="0"/>
        <w:keepLines w:val="0"/>
        <w:pageBreakBefore w:val="0"/>
        <w:kinsoku/>
        <w:wordWrap/>
        <w:overflowPunct/>
        <w:topLinePunct w:val="0"/>
        <w:autoSpaceDE/>
        <w:autoSpaceDN/>
        <w:bidi w:val="0"/>
        <w:snapToGrid/>
        <w:spacing w:line="600" w:lineRule="exact"/>
        <w:ind w:left="0" w:leftChars="0"/>
        <w:jc w:val="center"/>
        <w:textAlignment w:val="auto"/>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项目支出绩效自评报告</w:t>
      </w:r>
    </w:p>
    <w:p w14:paraId="336450BF">
      <w:pPr>
        <w:pStyle w:val="2"/>
      </w:pPr>
      <w:bookmarkStart w:id="0" w:name="_GoBack"/>
      <w:bookmarkEnd w:id="0"/>
    </w:p>
    <w:p w14:paraId="544BC1E0">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eastAsia="黑体"/>
          <w:sz w:val="32"/>
          <w:szCs w:val="32"/>
          <w:highlight w:val="none"/>
        </w:rPr>
      </w:pPr>
      <w:r>
        <w:rPr>
          <w:rFonts w:hint="eastAsia" w:eastAsia="黑体"/>
          <w:sz w:val="32"/>
          <w:szCs w:val="32"/>
          <w:highlight w:val="none"/>
        </w:rPr>
        <w:t>一、项目基本情况</w:t>
      </w:r>
    </w:p>
    <w:p w14:paraId="1808C85E">
      <w:pPr>
        <w:keepNext w:val="0"/>
        <w:keepLines w:val="0"/>
        <w:pageBreakBefore w:val="0"/>
        <w:kinsoku/>
        <w:wordWrap/>
        <w:overflowPunct/>
        <w:topLinePunct w:val="0"/>
        <w:autoSpaceDE/>
        <w:autoSpaceDN/>
        <w:bidi w:val="0"/>
        <w:snapToGrid/>
        <w:spacing w:line="600" w:lineRule="exact"/>
        <w:ind w:left="0" w:leftChars="0" w:right="0" w:firstLine="643" w:firstLineChars="200"/>
        <w:textAlignment w:val="auto"/>
        <w:rPr>
          <w:rFonts w:ascii="楷体_GB2312" w:eastAsia="楷体_GB2312"/>
          <w:b/>
          <w:sz w:val="32"/>
          <w:szCs w:val="32"/>
          <w:highlight w:val="none"/>
        </w:rPr>
      </w:pPr>
      <w:r>
        <w:rPr>
          <w:rFonts w:hint="eastAsia" w:ascii="楷体_GB2312" w:eastAsia="楷体_GB2312"/>
          <w:b/>
          <w:sz w:val="32"/>
          <w:szCs w:val="32"/>
          <w:highlight w:val="none"/>
        </w:rPr>
        <w:t>（一）项目概况</w:t>
      </w:r>
    </w:p>
    <w:p w14:paraId="23D3568C">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ascii="仿宋_GB2312" w:hAnsi="宋体" w:eastAsia="仿宋_GB2312" w:cs="仿宋_GB2312"/>
          <w:b w:val="0"/>
          <w:bCs w:val="0"/>
          <w:i w:val="0"/>
          <w:iCs w:val="0"/>
          <w:caps w:val="0"/>
          <w:color w:val="000000"/>
          <w:spacing w:val="-4"/>
          <w:sz w:val="32"/>
          <w:szCs w:val="32"/>
          <w:highlight w:val="none"/>
          <w:shd w:val="clear" w:fill="FFFFFF"/>
        </w:rPr>
      </w:pPr>
      <w:r>
        <w:rPr>
          <w:rFonts w:hint="eastAsia" w:ascii="仿宋_GB2312" w:hAnsi="宋体" w:eastAsia="仿宋_GB2312" w:cs="仿宋_GB2312"/>
          <w:i w:val="0"/>
          <w:iCs w:val="0"/>
          <w:caps w:val="0"/>
          <w:color w:val="000000"/>
          <w:spacing w:val="0"/>
          <w:sz w:val="32"/>
          <w:szCs w:val="32"/>
          <w:highlight w:val="none"/>
          <w:shd w:val="clear" w:fill="FFFFFF"/>
          <w:lang w:eastAsia="zh-CN"/>
        </w:rPr>
        <w:t>山丹县霍城镇</w:t>
      </w:r>
      <w:r>
        <w:rPr>
          <w:rFonts w:hint="eastAsia" w:ascii="仿宋_GB2312" w:hAnsi="宋体" w:eastAsia="仿宋_GB2312" w:cs="仿宋_GB2312"/>
          <w:i w:val="0"/>
          <w:iCs w:val="0"/>
          <w:caps w:val="0"/>
          <w:color w:val="000000"/>
          <w:spacing w:val="0"/>
          <w:sz w:val="32"/>
          <w:szCs w:val="32"/>
          <w:highlight w:val="none"/>
          <w:shd w:val="clear" w:fill="FFFFFF"/>
        </w:rPr>
        <w:t>共有</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1个卫生院和</w:t>
      </w:r>
      <w:r>
        <w:rPr>
          <w:rFonts w:hint="eastAsia" w:ascii="仿宋_GB2312" w:hAnsi="宋体" w:eastAsia="仿宋_GB2312" w:cs="仿宋_GB2312"/>
          <w:b w:val="0"/>
          <w:bCs w:val="0"/>
          <w:i w:val="0"/>
          <w:iCs w:val="0"/>
          <w:caps w:val="0"/>
          <w:color w:val="000000"/>
          <w:spacing w:val="0"/>
          <w:sz w:val="32"/>
          <w:szCs w:val="32"/>
          <w:highlight w:val="none"/>
          <w:shd w:val="clear" w:fill="FFFFFF"/>
        </w:rPr>
        <w:t>所辖</w:t>
      </w:r>
      <w:r>
        <w:rPr>
          <w:rFonts w:hint="eastAsia" w:ascii="仿宋_GB2312" w:hAnsi="宋体" w:eastAsia="仿宋_GB2312" w:cs="仿宋_GB2312"/>
          <w:b w:val="0"/>
          <w:bCs w:val="0"/>
          <w:i w:val="0"/>
          <w:iCs w:val="0"/>
          <w:caps w:val="0"/>
          <w:color w:val="000000"/>
          <w:spacing w:val="0"/>
          <w:sz w:val="32"/>
          <w:szCs w:val="32"/>
          <w:highlight w:val="none"/>
          <w:shd w:val="clear" w:fill="FFFFFF"/>
          <w:lang w:val="en-US" w:eastAsia="zh-CN"/>
        </w:rPr>
        <w:t>16个</w:t>
      </w:r>
      <w:r>
        <w:rPr>
          <w:rFonts w:hint="eastAsia" w:ascii="仿宋_GB2312" w:hAnsi="宋体" w:eastAsia="仿宋_GB2312" w:cs="仿宋_GB2312"/>
          <w:b w:val="0"/>
          <w:bCs w:val="0"/>
          <w:i w:val="0"/>
          <w:iCs w:val="0"/>
          <w:caps w:val="0"/>
          <w:color w:val="000000"/>
          <w:spacing w:val="0"/>
          <w:sz w:val="32"/>
          <w:szCs w:val="32"/>
          <w:highlight w:val="none"/>
          <w:shd w:val="clear" w:fill="FFFFFF"/>
        </w:rPr>
        <w:t>村卫生室</w:t>
      </w:r>
      <w:r>
        <w:rPr>
          <w:rFonts w:hint="eastAsia" w:ascii="仿宋_GB2312" w:hAnsi="宋体" w:eastAsia="仿宋_GB2312" w:cs="仿宋_GB2312"/>
          <w:b w:val="0"/>
          <w:bCs w:val="0"/>
          <w:i w:val="0"/>
          <w:iCs w:val="0"/>
          <w:caps w:val="0"/>
          <w:color w:val="000000"/>
          <w:spacing w:val="-4"/>
          <w:sz w:val="32"/>
          <w:szCs w:val="32"/>
          <w:highlight w:val="none"/>
          <w:shd w:val="clear" w:fill="FFFFFF"/>
        </w:rPr>
        <w:t>是基本公共卫生服务项目的实施主体，负责为辖区居民提供基本公共卫生服务。</w:t>
      </w:r>
    </w:p>
    <w:p w14:paraId="690E2223">
      <w:pPr>
        <w:keepNext w:val="0"/>
        <w:keepLines w:val="0"/>
        <w:pageBreakBefore w:val="0"/>
        <w:kinsoku/>
        <w:wordWrap/>
        <w:overflowPunct/>
        <w:topLinePunct w:val="0"/>
        <w:autoSpaceDE/>
        <w:autoSpaceDN/>
        <w:bidi w:val="0"/>
        <w:snapToGrid/>
        <w:spacing w:line="600" w:lineRule="exact"/>
        <w:ind w:left="0" w:leftChars="0" w:firstLine="640" w:firstLineChars="200"/>
        <w:textAlignment w:val="auto"/>
        <w:rPr>
          <w:rFonts w:hint="eastAsia" w:eastAsia="仿宋_GB2312"/>
          <w:highlight w:val="none"/>
          <w:lang w:val="en-US" w:eastAsia="zh-CN"/>
        </w:rPr>
      </w:pPr>
      <w:r>
        <w:rPr>
          <w:rFonts w:hint="eastAsia" w:ascii="仿宋_GB2312" w:eastAsia="仿宋_GB2312"/>
          <w:sz w:val="32"/>
          <w:szCs w:val="32"/>
          <w:highlight w:val="none"/>
        </w:rP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包括城乡居民健康档案管理、健康教育、预防接种、0-6岁儿童健康管理、孕产妇健康管理、老年人健康管理、慢性病患者健康管理(高血压、糖尿病)、重性精神疾病患者管理、结核病患者健康管理、传染病及突发公共卫生事件报告和处理服务、中医药健康管理、卫生计生监督协管服务、免费提供避孕药具、健康素养促进等十四项内容。</w:t>
      </w:r>
    </w:p>
    <w:p w14:paraId="4C29B7F9">
      <w:pPr>
        <w:keepNext w:val="0"/>
        <w:keepLines w:val="0"/>
        <w:pageBreakBefore w:val="0"/>
        <w:kinsoku/>
        <w:wordWrap/>
        <w:overflowPunct/>
        <w:topLinePunct w:val="0"/>
        <w:autoSpaceDE/>
        <w:autoSpaceDN/>
        <w:bidi w:val="0"/>
        <w:snapToGrid/>
        <w:spacing w:line="600" w:lineRule="exact"/>
        <w:ind w:left="0" w:leftChars="0" w:right="0" w:firstLine="643" w:firstLineChars="200"/>
        <w:textAlignment w:val="auto"/>
        <w:rPr>
          <w:rFonts w:ascii="楷体_GB2312" w:eastAsia="楷体_GB2312"/>
          <w:b/>
          <w:sz w:val="32"/>
          <w:szCs w:val="32"/>
          <w:highlight w:val="none"/>
        </w:rPr>
      </w:pPr>
      <w:r>
        <w:rPr>
          <w:rFonts w:hint="eastAsia" w:ascii="楷体_GB2312" w:eastAsia="楷体_GB2312"/>
          <w:b/>
          <w:sz w:val="32"/>
          <w:szCs w:val="32"/>
          <w:highlight w:val="none"/>
        </w:rPr>
        <w:t>（二）项目绩效目标</w:t>
      </w:r>
    </w:p>
    <w:p w14:paraId="11BB9D2E">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ascii="仿宋_GB2312" w:hAnsi="宋体" w:eastAsia="仿宋_GB2312" w:cs="仿宋_GB2312"/>
          <w:i w:val="0"/>
          <w:iCs w:val="0"/>
          <w:caps w:val="0"/>
          <w:color w:val="000000"/>
          <w:spacing w:val="0"/>
          <w:sz w:val="32"/>
          <w:szCs w:val="32"/>
          <w:highlight w:val="none"/>
          <w:shd w:val="clear" w:fill="FFFFFF"/>
          <w:lang w:eastAsia="zh-CN"/>
        </w:rPr>
      </w:pPr>
      <w:r>
        <w:rPr>
          <w:rFonts w:hint="eastAsia" w:ascii="仿宋_GB2312" w:hAnsi="宋体" w:eastAsia="仿宋_GB2312" w:cs="仿宋_GB2312"/>
          <w:i w:val="0"/>
          <w:iCs w:val="0"/>
          <w:caps w:val="0"/>
          <w:color w:val="000000"/>
          <w:spacing w:val="0"/>
          <w:sz w:val="32"/>
          <w:szCs w:val="32"/>
          <w:highlight w:val="none"/>
          <w:shd w:val="clear" w:fill="FFFFFF"/>
          <w:lang w:eastAsia="zh-CN"/>
        </w:rPr>
        <w:t>202</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3</w:t>
      </w:r>
      <w:r>
        <w:rPr>
          <w:rFonts w:hint="eastAsia" w:ascii="仿宋_GB2312" w:hAnsi="宋体" w:eastAsia="仿宋_GB2312" w:cs="仿宋_GB2312"/>
          <w:i w:val="0"/>
          <w:iCs w:val="0"/>
          <w:caps w:val="0"/>
          <w:color w:val="000000"/>
          <w:spacing w:val="0"/>
          <w:sz w:val="32"/>
          <w:szCs w:val="32"/>
          <w:highlight w:val="none"/>
          <w:shd w:val="clear" w:fill="FFFFFF"/>
          <w:lang w:eastAsia="zh-CN"/>
        </w:rPr>
        <w:t>年年初，根据基层医疗卫生机构的人均经费补助标准对基本公共卫生服务项目资金进行年度预算，根据年底</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highlight w:val="none"/>
          <w:shd w:val="clear" w:fill="FFFFFF"/>
          <w:lang w:eastAsia="zh-CN"/>
        </w:rPr>
        <w:t>考核结果分值及结合常驻人口清算下达基本公共卫生服务资金。202</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3</w:t>
      </w:r>
      <w:r>
        <w:rPr>
          <w:rFonts w:hint="eastAsia" w:ascii="仿宋_GB2312" w:hAnsi="宋体" w:eastAsia="仿宋_GB2312" w:cs="仿宋_GB2312"/>
          <w:i w:val="0"/>
          <w:iCs w:val="0"/>
          <w:caps w:val="0"/>
          <w:color w:val="000000"/>
          <w:spacing w:val="0"/>
          <w:sz w:val="32"/>
          <w:szCs w:val="32"/>
          <w:highlight w:val="none"/>
          <w:shd w:val="clear" w:fill="FFFFFF"/>
          <w:lang w:eastAsia="zh-CN"/>
        </w:rPr>
        <w:t>年省级下达基本公共卫生服务资金</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84.04</w:t>
      </w:r>
      <w:r>
        <w:rPr>
          <w:rFonts w:hint="eastAsia" w:ascii="仿宋_GB2312" w:hAnsi="宋体" w:eastAsia="仿宋_GB2312" w:cs="仿宋_GB2312"/>
          <w:i w:val="0"/>
          <w:iCs w:val="0"/>
          <w:caps w:val="0"/>
          <w:color w:val="000000"/>
          <w:spacing w:val="0"/>
          <w:sz w:val="32"/>
          <w:szCs w:val="32"/>
          <w:highlight w:val="none"/>
          <w:shd w:val="clear" w:fill="FFFFFF"/>
          <w:lang w:eastAsia="zh-CN"/>
        </w:rPr>
        <w:t>万元，地方配套下达基本公共卫生服务资金</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3.95</w:t>
      </w:r>
      <w:r>
        <w:rPr>
          <w:rFonts w:hint="eastAsia" w:ascii="仿宋_GB2312" w:hAnsi="宋体" w:eastAsia="仿宋_GB2312" w:cs="仿宋_GB2312"/>
          <w:i w:val="0"/>
          <w:iCs w:val="0"/>
          <w:caps w:val="0"/>
          <w:color w:val="000000"/>
          <w:spacing w:val="0"/>
          <w:sz w:val="32"/>
          <w:szCs w:val="32"/>
          <w:highlight w:val="none"/>
          <w:shd w:val="clear" w:fill="FFFFFF"/>
          <w:lang w:eastAsia="zh-CN"/>
        </w:rPr>
        <w:t>万元，共计下达资金</w:t>
      </w:r>
      <w:r>
        <w:rPr>
          <w:rFonts w:hint="eastAsia" w:ascii="仿宋_GB2312" w:hAnsi="宋体" w:eastAsia="仿宋_GB2312" w:cs="仿宋_GB2312"/>
          <w:i w:val="0"/>
          <w:iCs w:val="0"/>
          <w:caps w:val="0"/>
          <w:color w:val="000000"/>
          <w:spacing w:val="0"/>
          <w:sz w:val="32"/>
          <w:szCs w:val="32"/>
          <w:highlight w:val="none"/>
          <w:shd w:val="clear" w:fill="FFFFFF"/>
          <w:lang w:val="en-US" w:eastAsia="zh-CN"/>
        </w:rPr>
        <w:t>87.99</w:t>
      </w:r>
      <w:r>
        <w:rPr>
          <w:rFonts w:hint="eastAsia" w:ascii="仿宋_GB2312" w:hAnsi="宋体" w:eastAsia="仿宋_GB2312" w:cs="仿宋_GB2312"/>
          <w:i w:val="0"/>
          <w:iCs w:val="0"/>
          <w:caps w:val="0"/>
          <w:color w:val="000000"/>
          <w:spacing w:val="0"/>
          <w:sz w:val="32"/>
          <w:szCs w:val="32"/>
          <w:highlight w:val="none"/>
          <w:shd w:val="clear" w:fill="FFFFFF"/>
          <w:lang w:eastAsia="zh-CN"/>
        </w:rPr>
        <w:t>万元，目前已经全部清算下达。</w:t>
      </w:r>
    </w:p>
    <w:p w14:paraId="7733AD7D">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ascii="仿宋_GB2312" w:hAnsi="宋体" w:eastAsia="仿宋_GB2312" w:cs="仿宋_GB2312"/>
          <w:i w:val="0"/>
          <w:iCs w:val="0"/>
          <w:caps w:val="0"/>
          <w:color w:val="000000"/>
          <w:spacing w:val="0"/>
          <w:sz w:val="32"/>
          <w:szCs w:val="32"/>
          <w:highlight w:val="none"/>
          <w:shd w:val="clear" w:fill="FFFFFF"/>
          <w:lang w:eastAsia="zh-CN"/>
        </w:rPr>
      </w:pPr>
      <w:r>
        <w:rPr>
          <w:rFonts w:hint="eastAsia" w:ascii="仿宋_GB2312" w:hAnsi="宋体" w:eastAsia="仿宋_GB2312" w:cs="仿宋_GB2312"/>
          <w:i w:val="0"/>
          <w:iCs w:val="0"/>
          <w:caps w:val="0"/>
          <w:color w:val="000000"/>
          <w:spacing w:val="0"/>
          <w:sz w:val="32"/>
          <w:szCs w:val="32"/>
          <w:highlight w:val="none"/>
          <w:shd w:val="clear" w:fill="FFFFFF"/>
          <w:lang w:val="en-US" w:eastAsia="zh-CN"/>
        </w:rPr>
        <w:t>项目依据：《国家基本公共卫生服务规范（第三版）》。</w:t>
      </w:r>
    </w:p>
    <w:p w14:paraId="59577C91">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ascii="仿宋_GB2312" w:hAnsi="宋体" w:eastAsia="仿宋_GB2312" w:cs="仿宋_GB2312"/>
          <w:i w:val="0"/>
          <w:iCs w:val="0"/>
          <w:caps w:val="0"/>
          <w:color w:val="000000"/>
          <w:spacing w:val="0"/>
          <w:sz w:val="32"/>
          <w:szCs w:val="32"/>
          <w:highlight w:val="none"/>
          <w:shd w:val="clear" w:fill="FFFFFF"/>
          <w:lang w:eastAsia="zh-CN"/>
        </w:rPr>
      </w:pPr>
      <w:r>
        <w:rPr>
          <w:rFonts w:hint="eastAsia" w:ascii="仿宋_GB2312" w:hAnsi="宋体" w:eastAsia="仿宋_GB2312" w:cs="仿宋_GB2312"/>
          <w:i w:val="0"/>
          <w:iCs w:val="0"/>
          <w:caps w:val="0"/>
          <w:color w:val="000000"/>
          <w:spacing w:val="0"/>
          <w:sz w:val="32"/>
          <w:szCs w:val="32"/>
          <w:highlight w:val="none"/>
          <w:shd w:val="clear" w:fill="FFFFFF"/>
          <w:lang w:val="en-US" w:eastAsia="zh-CN"/>
        </w:rPr>
        <w:t>实施目的：通过实施基本公共卫生服务项目，对影响居民健康的主要卫生问题实施干预，减少主要健康危险因素，有效预防和控制主要传染病及慢性病，使城乡居民逐步享有均等化的公共卫生服务。</w:t>
      </w:r>
    </w:p>
    <w:p w14:paraId="4DD969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600" w:lineRule="exact"/>
        <w:ind w:left="0" w:leftChars="0" w:right="0" w:firstLine="640" w:firstLineChars="200"/>
        <w:jc w:val="both"/>
        <w:textAlignment w:val="auto"/>
        <w:rPr>
          <w:rFonts w:hint="eastAsia" w:ascii="微软雅黑" w:hAnsi="微软雅黑" w:eastAsia="微软雅黑" w:cs="微软雅黑"/>
          <w:i w:val="0"/>
          <w:iCs w:val="0"/>
          <w:caps w:val="0"/>
          <w:color w:val="333333"/>
          <w:spacing w:val="0"/>
          <w:sz w:val="32"/>
          <w:szCs w:val="32"/>
          <w:highlight w:val="none"/>
        </w:rPr>
      </w:pPr>
      <w:r>
        <w:rPr>
          <w:rFonts w:hint="eastAsia" w:ascii="仿宋_GB2312" w:hAnsi="微软雅黑" w:eastAsia="仿宋_GB2312" w:cs="仿宋_GB2312"/>
          <w:i w:val="0"/>
          <w:iCs w:val="0"/>
          <w:caps w:val="0"/>
          <w:color w:val="000000"/>
          <w:spacing w:val="0"/>
          <w:kern w:val="0"/>
          <w:sz w:val="32"/>
          <w:szCs w:val="32"/>
          <w:highlight w:val="none"/>
          <w:shd w:val="clear" w:fill="FFFFFF"/>
          <w:lang w:val="en-US" w:eastAsia="zh-CN" w:bidi="ar"/>
        </w:rPr>
        <w:t>实施范围：辖区内常住居民（指居住半年以上的户籍及非户籍居民），以0-6儿童、孕产妇、老年人、慢性病患者等人群为重点。</w:t>
      </w:r>
    </w:p>
    <w:p w14:paraId="19A4C9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600" w:lineRule="exact"/>
        <w:ind w:left="0" w:leftChars="0" w:right="0" w:firstLine="640" w:firstLineChars="200"/>
        <w:jc w:val="both"/>
        <w:textAlignment w:val="auto"/>
        <w:rPr>
          <w:rFonts w:hint="eastAsia" w:ascii="微软雅黑" w:hAnsi="微软雅黑" w:eastAsia="微软雅黑" w:cs="微软雅黑"/>
          <w:i w:val="0"/>
          <w:iCs w:val="0"/>
          <w:caps w:val="0"/>
          <w:color w:val="333333"/>
          <w:spacing w:val="0"/>
          <w:sz w:val="32"/>
          <w:szCs w:val="32"/>
          <w:highlight w:val="none"/>
        </w:rPr>
      </w:pPr>
      <w:r>
        <w:rPr>
          <w:rFonts w:hint="eastAsia" w:ascii="仿宋_GB2312" w:hAnsi="微软雅黑" w:eastAsia="仿宋_GB2312" w:cs="仿宋_GB2312"/>
          <w:i w:val="0"/>
          <w:iCs w:val="0"/>
          <w:caps w:val="0"/>
          <w:color w:val="000000"/>
          <w:spacing w:val="0"/>
          <w:kern w:val="0"/>
          <w:sz w:val="32"/>
          <w:szCs w:val="32"/>
          <w:highlight w:val="none"/>
          <w:shd w:val="clear" w:fill="FFFFFF"/>
          <w:lang w:val="en-US" w:eastAsia="zh-CN" w:bidi="ar"/>
        </w:rPr>
        <w:t>实施期限：2023年1月1日至2023年12月31日。</w:t>
      </w:r>
    </w:p>
    <w:p w14:paraId="72328F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600" w:lineRule="exact"/>
        <w:ind w:left="0" w:leftChars="0" w:right="0" w:firstLine="640" w:firstLineChars="200"/>
        <w:jc w:val="both"/>
        <w:textAlignment w:val="auto"/>
        <w:rPr>
          <w:rFonts w:hint="eastAsia" w:ascii="仿宋_GB2312" w:hAnsi="微软雅黑" w:eastAsia="仿宋_GB2312" w:cs="仿宋_GB2312"/>
          <w:i w:val="0"/>
          <w:iCs w:val="0"/>
          <w:caps w:val="0"/>
          <w:color w:val="000000"/>
          <w:spacing w:val="0"/>
          <w:kern w:val="0"/>
          <w:sz w:val="32"/>
          <w:szCs w:val="32"/>
          <w:highlight w:val="none"/>
          <w:shd w:val="clear" w:fill="FFFFFF"/>
          <w:lang w:val="en-US" w:eastAsia="zh-CN" w:bidi="ar"/>
        </w:rPr>
      </w:pPr>
      <w:r>
        <w:rPr>
          <w:rFonts w:hint="eastAsia" w:ascii="仿宋_GB2312" w:hAnsi="微软雅黑" w:eastAsia="仿宋_GB2312" w:cs="仿宋_GB2312"/>
          <w:i w:val="0"/>
          <w:iCs w:val="0"/>
          <w:caps w:val="0"/>
          <w:color w:val="000000"/>
          <w:spacing w:val="0"/>
          <w:kern w:val="0"/>
          <w:sz w:val="32"/>
          <w:szCs w:val="32"/>
          <w:highlight w:val="none"/>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3岁以下儿童系统管理率80%以上；老年人中医药健康管理率95%以上；儿童中医药健康管理率95%以上；卫生监督协管各专业每年巡查（访）2次完成率90%以上；居民规范化电子健康档案覆盖率95%以上；65岁及以上老年人规范健康管理服务率，高血压、糖尿病患者基层规范管理服务率均达到60%以上；社区在册居家严重精神障碍患者健康管理率4.5‰以上；肺结核患者管理率90%以上；传染病和突发公共卫生事件报告率95%以上；健康教育完成规定的年度工作任务同时不断提高基本公共卫生服务水平与服务对象满意度，不断缩小城乡居民公共卫生差距。</w:t>
      </w:r>
    </w:p>
    <w:p w14:paraId="563AA711">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eastAsia="黑体"/>
          <w:sz w:val="32"/>
          <w:szCs w:val="32"/>
          <w:highlight w:val="none"/>
        </w:rPr>
      </w:pPr>
      <w:r>
        <w:rPr>
          <w:rFonts w:hint="eastAsia" w:eastAsia="黑体"/>
          <w:sz w:val="32"/>
          <w:szCs w:val="32"/>
          <w:highlight w:val="none"/>
        </w:rPr>
        <w:t>二、项目资金情况</w:t>
      </w:r>
    </w:p>
    <w:p w14:paraId="61F2C583">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主要包括资金计划情况、资金到位情况及资金支出使用情况等内容。</w:t>
      </w:r>
    </w:p>
    <w:p w14:paraId="3DA07BA9">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eastAsia="黑体"/>
          <w:sz w:val="32"/>
          <w:szCs w:val="32"/>
          <w:highlight w:val="none"/>
        </w:rPr>
      </w:pPr>
      <w:r>
        <w:rPr>
          <w:rFonts w:hint="eastAsia" w:eastAsia="黑体"/>
          <w:sz w:val="32"/>
          <w:szCs w:val="32"/>
          <w:highlight w:val="none"/>
        </w:rPr>
        <w:t>三、绩效目标完成情况及效益分析</w:t>
      </w:r>
    </w:p>
    <w:p w14:paraId="6AD66C5C">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3" w:firstLineChars="200"/>
        <w:jc w:val="both"/>
        <w:textAlignment w:val="auto"/>
        <w:rPr>
          <w:rFonts w:ascii="仿宋_GB2312" w:hAnsi="仿宋_GB2312" w:eastAsia="仿宋_GB2312" w:cs="仿宋_GB2312"/>
          <w:b/>
          <w:bCs/>
          <w:sz w:val="32"/>
          <w:szCs w:val="32"/>
          <w:highlight w:val="none"/>
          <w:shd w:val="clear" w:color="auto" w:fill="FFFFFF"/>
        </w:rPr>
      </w:pPr>
      <w:r>
        <w:rPr>
          <w:rFonts w:hint="eastAsia" w:ascii="仿宋_GB2312" w:hAnsi="仿宋_GB2312" w:eastAsia="仿宋_GB2312" w:cs="仿宋_GB2312"/>
          <w:b/>
          <w:bCs/>
          <w:sz w:val="32"/>
          <w:szCs w:val="32"/>
          <w:highlight w:val="none"/>
          <w:shd w:val="clear" w:color="auto" w:fill="FFFFFF"/>
        </w:rPr>
        <w:t>（一）资金投入情况分析</w:t>
      </w:r>
    </w:p>
    <w:p w14:paraId="61601B3D">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我</w:t>
      </w:r>
      <w:r>
        <w:rPr>
          <w:rFonts w:hint="eastAsia" w:ascii="仿宋_GB2312" w:hAnsi="仿宋_GB2312" w:eastAsia="仿宋_GB2312" w:cs="仿宋_GB2312"/>
          <w:sz w:val="32"/>
          <w:szCs w:val="32"/>
          <w:highlight w:val="none"/>
          <w:lang w:eastAsia="zh-CN"/>
        </w:rPr>
        <w:t>院</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年财政预算资金共计投入资金</w:t>
      </w:r>
      <w:r>
        <w:rPr>
          <w:rFonts w:hint="eastAsia" w:ascii="仿宋_GB2312" w:eastAsia="仿宋_GB2312"/>
          <w:sz w:val="32"/>
          <w:szCs w:val="32"/>
          <w:highlight w:val="none"/>
          <w:lang w:val="en-US" w:eastAsia="zh-CN"/>
        </w:rPr>
        <w:t>87.99</w:t>
      </w:r>
      <w:r>
        <w:rPr>
          <w:rFonts w:hint="eastAsia" w:ascii="仿宋_GB2312" w:hAnsi="仿宋_GB2312" w:eastAsia="仿宋_GB2312" w:cs="仿宋_GB2312"/>
          <w:sz w:val="32"/>
          <w:szCs w:val="32"/>
          <w:highlight w:val="none"/>
        </w:rPr>
        <w:t>万元，其中财政补助</w:t>
      </w:r>
      <w:r>
        <w:rPr>
          <w:rFonts w:hint="eastAsia" w:ascii="仿宋_GB2312" w:hAnsi="仿宋_GB2312" w:eastAsia="仿宋_GB2312" w:cs="仿宋_GB2312"/>
          <w:sz w:val="32"/>
          <w:szCs w:val="32"/>
          <w:highlight w:val="none"/>
          <w:lang w:val="en-US" w:eastAsia="zh-CN"/>
        </w:rPr>
        <w:t>87.99</w:t>
      </w:r>
      <w:r>
        <w:rPr>
          <w:rFonts w:hint="eastAsia" w:ascii="仿宋_GB2312" w:hAnsi="仿宋_GB2312" w:eastAsia="仿宋_GB2312" w:cs="仿宋_GB2312"/>
          <w:sz w:val="32"/>
          <w:szCs w:val="32"/>
          <w:highlight w:val="none"/>
        </w:rPr>
        <w:t>万元，财政补助资金全部足额到位。</w:t>
      </w:r>
    </w:p>
    <w:p w14:paraId="29046B88">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600" w:lineRule="exact"/>
        <w:ind w:left="0" w:leftChars="0" w:right="0" w:firstLine="643" w:firstLineChars="200"/>
        <w:jc w:val="both"/>
        <w:textAlignment w:val="auto"/>
        <w:rPr>
          <w:rStyle w:val="12"/>
          <w:rFonts w:hint="eastAsia" w:ascii="仿宋_GB2312" w:hAnsi="仿宋_GB2312" w:eastAsia="仿宋_GB2312" w:cs="仿宋_GB2312"/>
          <w:b/>
          <w:sz w:val="32"/>
          <w:szCs w:val="32"/>
          <w:highlight w:val="none"/>
        </w:rPr>
      </w:pPr>
      <w:r>
        <w:rPr>
          <w:rFonts w:hint="eastAsia" w:ascii="仿宋_GB2312" w:hAnsi="仿宋_GB2312" w:eastAsia="仿宋_GB2312" w:cs="仿宋_GB2312"/>
          <w:b/>
          <w:bCs/>
          <w:sz w:val="32"/>
          <w:szCs w:val="32"/>
          <w:highlight w:val="none"/>
          <w:shd w:val="clear" w:color="auto" w:fill="FFFFFF"/>
        </w:rPr>
        <w:t>总体绩效目标完成情况分析</w:t>
      </w:r>
    </w:p>
    <w:p w14:paraId="0B2C0E1A">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1.免费向城乡居民提供基本公共卫生服务。202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年，我</w:t>
      </w:r>
      <w:r>
        <w:rPr>
          <w:rFonts w:hint="eastAsia" w:ascii="仿宋_GB2312" w:hAnsi="仿宋_GB2312" w:eastAsia="仿宋_GB2312" w:cs="仿宋_GB2312"/>
          <w:sz w:val="32"/>
          <w:szCs w:val="32"/>
          <w:highlight w:val="none"/>
          <w:lang w:val="en-US" w:eastAsia="zh-CN"/>
        </w:rPr>
        <w:t>镇</w:t>
      </w:r>
      <w:r>
        <w:rPr>
          <w:rFonts w:hint="eastAsia" w:ascii="仿宋_GB2312" w:hAnsi="仿宋_GB2312" w:eastAsia="仿宋_GB2312" w:cs="仿宋_GB2312"/>
          <w:sz w:val="32"/>
          <w:szCs w:val="32"/>
          <w:highlight w:val="none"/>
        </w:rPr>
        <w:t>基本公共卫生服务项目工作，按照国家卫健委、国家中医药管理局、财政部《关于做好202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年国家基本公共卫生服务项目工作的通知》</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文件精神，加强组织领导，密切配合，创新工作方式，规范资金管理，工作取得较好成效。</w:t>
      </w:r>
    </w:p>
    <w:p w14:paraId="3B963ED5">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年项目的开展，资金支出的管理、使用、产出效益评价均符合标准。</w:t>
      </w:r>
    </w:p>
    <w:p w14:paraId="776DE905">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2.将基本公卫服务宣传与日常居民健康管理工作结合起来。主动提供基本公卫项目相关咨询服务，普及基本公卫知识，提高基本公卫社会效益及居民政策知晓度和居民满意度，群众综合知晓率达</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%以上，服务对象知晓率达</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%和满意度达</w:t>
      </w:r>
      <w:r>
        <w:rPr>
          <w:rFonts w:hint="eastAsia" w:ascii="仿宋_GB2312" w:hAnsi="仿宋_GB2312" w:eastAsia="仿宋_GB2312" w:cs="仿宋_GB2312"/>
          <w:sz w:val="32"/>
          <w:szCs w:val="32"/>
          <w:highlight w:val="none"/>
          <w:lang w:val="en-US" w:eastAsia="zh-CN"/>
        </w:rPr>
        <w:t>80</w:t>
      </w:r>
      <w:r>
        <w:rPr>
          <w:rFonts w:hint="eastAsia" w:ascii="仿宋_GB2312" w:hAnsi="仿宋_GB2312" w:eastAsia="仿宋_GB2312" w:cs="仿宋_GB2312"/>
          <w:sz w:val="32"/>
          <w:szCs w:val="32"/>
          <w:highlight w:val="none"/>
        </w:rPr>
        <w:t>%以上。</w:t>
      </w:r>
    </w:p>
    <w:p w14:paraId="43471835">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3" w:firstLineChars="200"/>
        <w:jc w:val="both"/>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）绩效指标完成情况分析。</w:t>
      </w:r>
    </w:p>
    <w:p w14:paraId="3B4A6F2A">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1.居民健康档案。202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我院</w:t>
      </w:r>
      <w:r>
        <w:rPr>
          <w:rFonts w:hint="eastAsia" w:ascii="仿宋_GB2312" w:hAnsi="仿宋_GB2312" w:eastAsia="仿宋_GB2312" w:cs="仿宋_GB2312"/>
          <w:color w:val="auto"/>
          <w:sz w:val="32"/>
          <w:szCs w:val="32"/>
          <w:highlight w:val="none"/>
        </w:rPr>
        <w:t>已建立居民规范化电子健康档案，建档率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%，规范建档率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%，使用率</w:t>
      </w:r>
      <w:r>
        <w:rPr>
          <w:rFonts w:hint="eastAsia" w:ascii="仿宋_GB2312" w:hAnsi="仿宋_GB2312" w:eastAsia="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rPr>
        <w:t>%。</w:t>
      </w:r>
    </w:p>
    <w:p w14:paraId="6A17E4AE">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2.健康教育工作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利用各种卫生日组织面向公众开展各类健康教育讲座及咨询活动。</w:t>
      </w:r>
    </w:p>
    <w:p w14:paraId="6A4E9580">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3.预防接种工作。0-6岁适龄儿童</w:t>
      </w:r>
      <w:r>
        <w:rPr>
          <w:rFonts w:hint="eastAsia" w:ascii="仿宋_GB2312" w:hAnsi="仿宋_GB2312" w:eastAsia="仿宋_GB2312" w:cs="仿宋_GB2312"/>
          <w:color w:val="auto"/>
          <w:sz w:val="32"/>
          <w:szCs w:val="32"/>
          <w:highlight w:val="none"/>
          <w:lang w:eastAsia="zh-CN"/>
        </w:rPr>
        <w:t>全部</w:t>
      </w:r>
      <w:r>
        <w:rPr>
          <w:rFonts w:hint="eastAsia" w:ascii="仿宋_GB2312" w:hAnsi="仿宋_GB2312" w:eastAsia="仿宋_GB2312" w:cs="仿宋_GB2312"/>
          <w:color w:val="auto"/>
          <w:sz w:val="32"/>
          <w:szCs w:val="32"/>
          <w:highlight w:val="none"/>
        </w:rPr>
        <w:t>建卡，国家免疫规划疫苗分剂次接种率达</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53FC8653">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4.传染病报告和处理工作。全年无甲类传染病发生，法定报告传染病网络报告及时率100%、突发公共卫生事件信息报告和调查处置率100%。</w:t>
      </w:r>
    </w:p>
    <w:p w14:paraId="31A7B137">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5.儿童健康管理工作。</w:t>
      </w:r>
      <w:r>
        <w:rPr>
          <w:rFonts w:hint="eastAsia" w:ascii="仿宋_GB2312" w:hAnsi="仿宋_GB2312" w:eastAsia="仿宋_GB2312" w:cs="仿宋_GB2312"/>
          <w:color w:val="auto"/>
          <w:sz w:val="32"/>
          <w:szCs w:val="32"/>
          <w:highlight w:val="none"/>
          <w:lang w:val="en-US" w:eastAsia="zh-CN"/>
        </w:rPr>
        <w:t>我院</w:t>
      </w:r>
      <w:r>
        <w:rPr>
          <w:rFonts w:hint="eastAsia" w:ascii="仿宋_GB2312" w:hAnsi="仿宋_GB2312" w:eastAsia="仿宋_GB2312" w:cs="仿宋_GB2312"/>
          <w:color w:val="auto"/>
          <w:sz w:val="32"/>
          <w:szCs w:val="32"/>
          <w:highlight w:val="none"/>
        </w:rPr>
        <w:t>0-6岁儿童健康管理人数</w:t>
      </w:r>
      <w:r>
        <w:rPr>
          <w:rFonts w:hint="eastAsia" w:ascii="仿宋_GB2312" w:hAnsi="仿宋_GB2312" w:eastAsia="仿宋_GB2312" w:cs="仿宋_GB2312"/>
          <w:color w:val="auto"/>
          <w:sz w:val="32"/>
          <w:szCs w:val="32"/>
          <w:highlight w:val="none"/>
          <w:lang w:val="en-US" w:eastAsia="zh-CN"/>
        </w:rPr>
        <w:t>189</w:t>
      </w:r>
      <w:r>
        <w:rPr>
          <w:rFonts w:hint="eastAsia" w:ascii="仿宋_GB2312" w:hAnsi="仿宋_GB2312" w:eastAsia="仿宋_GB2312" w:cs="仿宋_GB2312"/>
          <w:color w:val="auto"/>
          <w:sz w:val="32"/>
          <w:szCs w:val="32"/>
          <w:highlight w:val="none"/>
        </w:rPr>
        <w:t>人，健康管理率达</w:t>
      </w:r>
      <w:r>
        <w:rPr>
          <w:rFonts w:hint="eastAsia" w:ascii="仿宋_GB2312" w:hAnsi="仿宋_GB2312" w:eastAsia="仿宋_GB2312" w:cs="仿宋_GB2312"/>
          <w:color w:val="auto"/>
          <w:sz w:val="32"/>
          <w:szCs w:val="32"/>
          <w:highlight w:val="none"/>
          <w:lang w:val="en-US" w:eastAsia="zh-CN"/>
        </w:rPr>
        <w:t>97.27</w:t>
      </w:r>
      <w:r>
        <w:rPr>
          <w:rFonts w:hint="eastAsia" w:ascii="仿宋_GB2312" w:hAnsi="仿宋_GB2312" w:eastAsia="仿宋_GB2312" w:cs="仿宋_GB2312"/>
          <w:color w:val="auto"/>
          <w:sz w:val="32"/>
          <w:szCs w:val="32"/>
          <w:highlight w:val="none"/>
        </w:rPr>
        <w:t>%，新生儿访视</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人，访视率达</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%。0-6岁儿童眼保健和视力检查覆盖率</w:t>
      </w:r>
      <w:r>
        <w:rPr>
          <w:rFonts w:hint="eastAsia" w:ascii="仿宋_GB2312" w:hAnsi="仿宋_GB2312" w:eastAsia="仿宋_GB2312" w:cs="仿宋_GB2312"/>
          <w:color w:val="auto"/>
          <w:sz w:val="32"/>
          <w:szCs w:val="32"/>
          <w:highlight w:val="none"/>
          <w:lang w:val="en-US" w:eastAsia="zh-CN"/>
        </w:rPr>
        <w:t>97.27</w:t>
      </w:r>
      <w:r>
        <w:rPr>
          <w:rFonts w:hint="eastAsia" w:ascii="仿宋_GB2312" w:hAnsi="仿宋_GB2312" w:eastAsia="仿宋_GB2312" w:cs="仿宋_GB2312"/>
          <w:color w:val="auto"/>
          <w:sz w:val="32"/>
          <w:szCs w:val="32"/>
          <w:highlight w:val="none"/>
        </w:rPr>
        <w:t>%。</w:t>
      </w:r>
    </w:p>
    <w:p w14:paraId="7F90C620">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.老年人健康管理工作。老年人健康管理</w:t>
      </w:r>
      <w:r>
        <w:rPr>
          <w:rFonts w:hint="eastAsia" w:ascii="仿宋_GB2312" w:hAnsi="仿宋_GB2312" w:eastAsia="仿宋_GB2312" w:cs="仿宋_GB2312"/>
          <w:color w:val="auto"/>
          <w:sz w:val="32"/>
          <w:szCs w:val="32"/>
          <w:highlight w:val="none"/>
          <w:lang w:val="en-US" w:eastAsia="zh-CN"/>
        </w:rPr>
        <w:t>1571</w:t>
      </w:r>
      <w:r>
        <w:rPr>
          <w:rFonts w:hint="eastAsia" w:ascii="仿宋_GB2312" w:hAnsi="仿宋_GB2312" w:eastAsia="仿宋_GB2312" w:cs="仿宋_GB2312"/>
          <w:color w:val="auto"/>
          <w:sz w:val="32"/>
          <w:szCs w:val="32"/>
          <w:highlight w:val="none"/>
        </w:rPr>
        <w:t>人，健康管理率</w:t>
      </w:r>
      <w:r>
        <w:rPr>
          <w:rFonts w:hint="eastAsia" w:ascii="仿宋_GB2312" w:hAnsi="仿宋_GB2312" w:eastAsia="仿宋_GB2312" w:cs="仿宋_GB2312"/>
          <w:color w:val="auto"/>
          <w:sz w:val="32"/>
          <w:szCs w:val="32"/>
          <w:highlight w:val="none"/>
          <w:lang w:val="en-US" w:eastAsia="zh-CN"/>
        </w:rPr>
        <w:t>98.18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体检率90.81%</w:t>
      </w:r>
      <w:r>
        <w:rPr>
          <w:rFonts w:hint="eastAsia" w:ascii="仿宋_GB2312" w:hAnsi="仿宋_GB2312" w:eastAsia="仿宋_GB2312" w:cs="仿宋_GB2312"/>
          <w:color w:val="auto"/>
          <w:sz w:val="32"/>
          <w:szCs w:val="32"/>
          <w:highlight w:val="none"/>
        </w:rPr>
        <w:t>。</w:t>
      </w:r>
    </w:p>
    <w:p w14:paraId="0B26B43C">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.慢性病患者管理工作。年内辖区内已管理的高血压患者</w:t>
      </w:r>
      <w:r>
        <w:rPr>
          <w:rFonts w:hint="eastAsia" w:ascii="仿宋_GB2312" w:hAnsi="仿宋_GB2312" w:eastAsia="仿宋_GB2312" w:cs="仿宋_GB2312"/>
          <w:color w:val="auto"/>
          <w:sz w:val="32"/>
          <w:szCs w:val="32"/>
          <w:highlight w:val="none"/>
          <w:lang w:val="en-US" w:eastAsia="zh-CN"/>
        </w:rPr>
        <w:t>1511</w:t>
      </w:r>
      <w:r>
        <w:rPr>
          <w:rFonts w:hint="eastAsia" w:ascii="仿宋_GB2312" w:hAnsi="仿宋_GB2312" w:eastAsia="仿宋_GB2312" w:cs="仿宋_GB2312"/>
          <w:color w:val="auto"/>
          <w:sz w:val="32"/>
          <w:szCs w:val="32"/>
          <w:highlight w:val="none"/>
        </w:rPr>
        <w:t>人，规范管理服务率</w:t>
      </w:r>
      <w:r>
        <w:rPr>
          <w:rFonts w:hint="eastAsia" w:ascii="仿宋_GB2312" w:hAnsi="仿宋_GB2312" w:eastAsia="仿宋_GB2312" w:cs="仿宋_GB2312"/>
          <w:color w:val="auto"/>
          <w:sz w:val="32"/>
          <w:szCs w:val="32"/>
          <w:highlight w:val="none"/>
          <w:lang w:val="en-US" w:eastAsia="zh-CN"/>
        </w:rPr>
        <w:t>98.93</w:t>
      </w:r>
      <w:r>
        <w:rPr>
          <w:rFonts w:hint="eastAsia" w:ascii="仿宋_GB2312" w:hAnsi="仿宋_GB2312" w:eastAsia="仿宋_GB2312" w:cs="仿宋_GB2312"/>
          <w:color w:val="auto"/>
          <w:sz w:val="32"/>
          <w:szCs w:val="32"/>
          <w:highlight w:val="none"/>
        </w:rPr>
        <w:t>%；年内辖区内已管理的糖尿病患者</w:t>
      </w:r>
      <w:r>
        <w:rPr>
          <w:rFonts w:hint="eastAsia" w:ascii="仿宋_GB2312" w:hAnsi="仿宋_GB2312" w:eastAsia="仿宋_GB2312" w:cs="仿宋_GB2312"/>
          <w:color w:val="auto"/>
          <w:sz w:val="32"/>
          <w:szCs w:val="32"/>
          <w:highlight w:val="none"/>
          <w:lang w:val="en-US" w:eastAsia="zh-CN"/>
        </w:rPr>
        <w:t>363</w:t>
      </w:r>
      <w:r>
        <w:rPr>
          <w:rFonts w:hint="eastAsia" w:ascii="仿宋_GB2312" w:hAnsi="仿宋_GB2312" w:eastAsia="仿宋_GB2312" w:cs="仿宋_GB2312"/>
          <w:color w:val="auto"/>
          <w:sz w:val="32"/>
          <w:szCs w:val="32"/>
          <w:highlight w:val="none"/>
        </w:rPr>
        <w:t>人，规范管理服务率</w:t>
      </w:r>
      <w:r>
        <w:rPr>
          <w:rFonts w:hint="eastAsia" w:ascii="仿宋_GB2312" w:hAnsi="仿宋_GB2312" w:eastAsia="仿宋_GB2312" w:cs="仿宋_GB2312"/>
          <w:color w:val="auto"/>
          <w:sz w:val="32"/>
          <w:szCs w:val="32"/>
          <w:highlight w:val="none"/>
          <w:lang w:val="en-US" w:eastAsia="zh-CN"/>
        </w:rPr>
        <w:t>46.86</w:t>
      </w:r>
      <w:r>
        <w:rPr>
          <w:rFonts w:hint="eastAsia" w:ascii="仿宋_GB2312" w:hAnsi="仿宋_GB2312" w:eastAsia="仿宋_GB2312" w:cs="仿宋_GB2312"/>
          <w:color w:val="auto"/>
          <w:sz w:val="32"/>
          <w:szCs w:val="32"/>
          <w:highlight w:val="none"/>
        </w:rPr>
        <w:t>%。</w:t>
      </w:r>
    </w:p>
    <w:p w14:paraId="12591B14">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严重</w:t>
      </w:r>
      <w:r>
        <w:rPr>
          <w:rFonts w:hint="eastAsia" w:ascii="仿宋_GB2312" w:hAnsi="仿宋_GB2312" w:eastAsia="仿宋_GB2312" w:cs="仿宋_GB2312"/>
          <w:color w:val="auto"/>
          <w:sz w:val="32"/>
          <w:szCs w:val="32"/>
          <w:highlight w:val="none"/>
        </w:rPr>
        <w:t>精神</w:t>
      </w:r>
      <w:r>
        <w:rPr>
          <w:rFonts w:hint="eastAsia" w:ascii="仿宋_GB2312" w:hAnsi="仿宋_GB2312" w:eastAsia="仿宋_GB2312" w:cs="仿宋_GB2312"/>
          <w:color w:val="auto"/>
          <w:sz w:val="32"/>
          <w:szCs w:val="32"/>
          <w:highlight w:val="none"/>
          <w:lang w:eastAsia="zh-CN"/>
        </w:rPr>
        <w:t>障暗</w:t>
      </w:r>
      <w:r>
        <w:rPr>
          <w:rFonts w:hint="eastAsia" w:ascii="仿宋_GB2312" w:hAnsi="仿宋_GB2312" w:eastAsia="仿宋_GB2312" w:cs="仿宋_GB2312"/>
          <w:color w:val="auto"/>
          <w:sz w:val="32"/>
          <w:szCs w:val="32"/>
          <w:highlight w:val="none"/>
        </w:rPr>
        <w:t>患者管理工作。严重精神障碍患者登记管理</w:t>
      </w:r>
      <w:r>
        <w:rPr>
          <w:rFonts w:hint="eastAsia" w:ascii="仿宋_GB2312" w:hAnsi="仿宋_GB2312" w:eastAsia="仿宋_GB2312" w:cs="仿宋_GB2312"/>
          <w:color w:val="auto"/>
          <w:sz w:val="32"/>
          <w:szCs w:val="32"/>
          <w:highlight w:val="none"/>
          <w:lang w:val="en-US" w:eastAsia="zh-CN"/>
        </w:rPr>
        <w:t>52</w:t>
      </w:r>
      <w:r>
        <w:rPr>
          <w:rFonts w:hint="eastAsia" w:ascii="仿宋_GB2312" w:hAnsi="仿宋_GB2312" w:eastAsia="仿宋_GB2312" w:cs="仿宋_GB2312"/>
          <w:color w:val="auto"/>
          <w:sz w:val="32"/>
          <w:szCs w:val="32"/>
          <w:highlight w:val="none"/>
        </w:rPr>
        <w:t>人，在册患者管理率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%，规范管理率</w:t>
      </w:r>
      <w:r>
        <w:rPr>
          <w:rFonts w:hint="eastAsia" w:ascii="仿宋_GB2312" w:hAnsi="仿宋_GB2312" w:eastAsia="仿宋_GB2312" w:cs="仿宋_GB2312"/>
          <w:color w:val="auto"/>
          <w:sz w:val="32"/>
          <w:szCs w:val="32"/>
          <w:highlight w:val="none"/>
          <w:lang w:val="en-US" w:eastAsia="zh-CN"/>
        </w:rPr>
        <w:t>98.08</w:t>
      </w:r>
      <w:r>
        <w:rPr>
          <w:rFonts w:hint="eastAsia" w:ascii="仿宋_GB2312" w:hAnsi="仿宋_GB2312" w:eastAsia="仿宋_GB2312" w:cs="仿宋_GB2312"/>
          <w:color w:val="auto"/>
          <w:sz w:val="32"/>
          <w:szCs w:val="32"/>
          <w:highlight w:val="none"/>
        </w:rPr>
        <w:t>%，面访率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%，服药率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%，规律服药率</w:t>
      </w:r>
      <w:r>
        <w:rPr>
          <w:rFonts w:hint="eastAsia" w:ascii="仿宋_GB2312" w:hAnsi="仿宋_GB2312" w:eastAsia="仿宋_GB2312" w:cs="仿宋_GB2312"/>
          <w:color w:val="auto"/>
          <w:sz w:val="32"/>
          <w:szCs w:val="32"/>
          <w:highlight w:val="none"/>
          <w:lang w:val="en-US" w:eastAsia="zh-CN"/>
        </w:rPr>
        <w:t>98.08</w:t>
      </w:r>
      <w:r>
        <w:rPr>
          <w:rFonts w:hint="eastAsia" w:ascii="仿宋_GB2312" w:hAnsi="仿宋_GB2312" w:eastAsia="仿宋_GB2312" w:cs="仿宋_GB2312"/>
          <w:color w:val="auto"/>
          <w:sz w:val="32"/>
          <w:szCs w:val="32"/>
          <w:highlight w:val="none"/>
        </w:rPr>
        <w:t>%，健康体检率</w:t>
      </w:r>
      <w:r>
        <w:rPr>
          <w:rFonts w:hint="eastAsia" w:ascii="仿宋_GB2312" w:hAnsi="仿宋_GB2312" w:eastAsia="仿宋_GB2312" w:cs="仿宋_GB2312"/>
          <w:color w:val="auto"/>
          <w:sz w:val="32"/>
          <w:szCs w:val="32"/>
          <w:highlight w:val="none"/>
          <w:lang w:val="en-US" w:eastAsia="zh-CN"/>
        </w:rPr>
        <w:t>34.62</w:t>
      </w:r>
      <w:r>
        <w:rPr>
          <w:rFonts w:hint="eastAsia" w:ascii="仿宋_GB2312" w:hAnsi="仿宋_GB2312" w:eastAsia="仿宋_GB2312" w:cs="仿宋_GB2312"/>
          <w:color w:val="auto"/>
          <w:sz w:val="32"/>
          <w:szCs w:val="32"/>
          <w:highlight w:val="none"/>
        </w:rPr>
        <w:t>%。</w:t>
      </w:r>
    </w:p>
    <w:p w14:paraId="02DE7C01">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.卫生监督协管。明确专职或兼职人员负责卫生监督协管工作，协助开展食源性疾病、饮用水卫生安全、学校卫生、非法行医和非法采供血、计划生育实地巡查</w:t>
      </w:r>
      <w:r>
        <w:rPr>
          <w:rFonts w:hint="eastAsia" w:ascii="仿宋_GB2312" w:hAnsi="仿宋_GB2312" w:eastAsia="仿宋_GB2312" w:cs="仿宋_GB2312"/>
          <w:color w:val="auto"/>
          <w:sz w:val="32"/>
          <w:szCs w:val="32"/>
          <w:highlight w:val="none"/>
          <w:lang w:val="en-US" w:eastAsia="zh-CN"/>
        </w:rPr>
        <w:t>122</w:t>
      </w:r>
      <w:r>
        <w:rPr>
          <w:rFonts w:hint="eastAsia" w:ascii="仿宋_GB2312" w:hAnsi="仿宋_GB2312" w:eastAsia="仿宋_GB2312" w:cs="仿宋_GB2312"/>
          <w:color w:val="auto"/>
          <w:sz w:val="32"/>
          <w:szCs w:val="32"/>
          <w:highlight w:val="none"/>
        </w:rPr>
        <w:t>次。</w:t>
      </w:r>
    </w:p>
    <w:p w14:paraId="5CBA0821">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.中医药健康管理服务。共为</w:t>
      </w:r>
      <w:r>
        <w:rPr>
          <w:rFonts w:hint="eastAsia" w:ascii="仿宋_GB2312" w:hAnsi="仿宋_GB2312" w:eastAsia="仿宋_GB2312" w:cs="仿宋_GB2312"/>
          <w:color w:val="auto"/>
          <w:sz w:val="32"/>
          <w:szCs w:val="32"/>
          <w:highlight w:val="none"/>
          <w:lang w:val="en-US" w:eastAsia="zh-CN"/>
        </w:rPr>
        <w:t>1453</w:t>
      </w:r>
      <w:r>
        <w:rPr>
          <w:rFonts w:hint="eastAsia" w:ascii="仿宋_GB2312" w:hAnsi="仿宋_GB2312" w:eastAsia="仿宋_GB2312" w:cs="仿宋_GB2312"/>
          <w:color w:val="auto"/>
          <w:sz w:val="32"/>
          <w:szCs w:val="32"/>
          <w:highlight w:val="none"/>
        </w:rPr>
        <w:t>名65岁以上老年人提供了中医体质辨识服务，覆盖率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%；为</w:t>
      </w:r>
      <w:r>
        <w:rPr>
          <w:rFonts w:hint="eastAsia" w:ascii="仿宋_GB2312" w:hAnsi="仿宋_GB2312" w:eastAsia="仿宋_GB2312" w:cs="仿宋_GB2312"/>
          <w:color w:val="auto"/>
          <w:sz w:val="32"/>
          <w:szCs w:val="32"/>
          <w:highlight w:val="none"/>
          <w:lang w:val="en-US" w:eastAsia="zh-CN"/>
        </w:rPr>
        <w:t>62</w:t>
      </w:r>
      <w:r>
        <w:rPr>
          <w:rFonts w:hint="eastAsia" w:ascii="仿宋_GB2312" w:hAnsi="仿宋_GB2312" w:eastAsia="仿宋_GB2312" w:cs="仿宋_GB2312"/>
          <w:color w:val="auto"/>
          <w:sz w:val="32"/>
          <w:szCs w:val="32"/>
          <w:highlight w:val="none"/>
        </w:rPr>
        <w:t>名0-36个月儿童提供了中医调养服务，覆盖率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5A63184E">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.肺结核患者管理工作。已管理的肺结核患者</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例。</w:t>
      </w:r>
    </w:p>
    <w:p w14:paraId="69FB5845">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.家庭医生签约服务。202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年，辖区内共有家庭医生签约团队</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个，共签约65岁及以上老年人</w:t>
      </w:r>
      <w:r>
        <w:rPr>
          <w:rFonts w:hint="eastAsia" w:ascii="仿宋_GB2312" w:hAnsi="仿宋_GB2312" w:eastAsia="仿宋_GB2312" w:cs="仿宋_GB2312"/>
          <w:color w:val="auto"/>
          <w:sz w:val="32"/>
          <w:szCs w:val="32"/>
          <w:highlight w:val="none"/>
          <w:lang w:val="en-US" w:eastAsia="zh-CN"/>
        </w:rPr>
        <w:t>1256</w:t>
      </w:r>
      <w:r>
        <w:rPr>
          <w:rFonts w:hint="eastAsia" w:ascii="仿宋_GB2312" w:hAnsi="仿宋_GB2312" w:eastAsia="仿宋_GB2312" w:cs="仿宋_GB2312"/>
          <w:color w:val="auto"/>
          <w:sz w:val="32"/>
          <w:szCs w:val="32"/>
          <w:highlight w:val="none"/>
        </w:rPr>
        <w:t>人、慢性四病</w:t>
      </w:r>
      <w:r>
        <w:rPr>
          <w:rFonts w:hint="eastAsia" w:ascii="仿宋_GB2312" w:hAnsi="仿宋_GB2312" w:eastAsia="仿宋_GB2312" w:cs="仿宋_GB2312"/>
          <w:color w:val="auto"/>
          <w:sz w:val="32"/>
          <w:szCs w:val="32"/>
          <w:highlight w:val="none"/>
          <w:lang w:val="en-US" w:eastAsia="zh-CN"/>
        </w:rPr>
        <w:t>1929</w:t>
      </w:r>
      <w:r>
        <w:rPr>
          <w:rFonts w:hint="eastAsia" w:ascii="仿宋_GB2312" w:hAnsi="仿宋_GB2312" w:eastAsia="仿宋_GB2312" w:cs="仿宋_GB2312"/>
          <w:color w:val="auto"/>
          <w:sz w:val="32"/>
          <w:szCs w:val="32"/>
          <w:highlight w:val="none"/>
        </w:rPr>
        <w:t>人、孕产妇</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人、0-6岁儿童</w:t>
      </w:r>
      <w:r>
        <w:rPr>
          <w:rFonts w:hint="eastAsia" w:ascii="仿宋_GB2312" w:hAnsi="仿宋_GB2312" w:eastAsia="仿宋_GB2312" w:cs="仿宋_GB2312"/>
          <w:color w:val="auto"/>
          <w:sz w:val="32"/>
          <w:szCs w:val="32"/>
          <w:highlight w:val="none"/>
          <w:lang w:val="en-US" w:eastAsia="zh-CN"/>
        </w:rPr>
        <w:t>189</w:t>
      </w:r>
      <w:r>
        <w:rPr>
          <w:rFonts w:hint="eastAsia" w:ascii="仿宋_GB2312" w:hAnsi="仿宋_GB2312" w:eastAsia="仿宋_GB2312" w:cs="仿宋_GB2312"/>
          <w:color w:val="auto"/>
          <w:sz w:val="32"/>
          <w:szCs w:val="32"/>
          <w:highlight w:val="none"/>
        </w:rPr>
        <w:t>人、计划生育特殊家庭</w:t>
      </w:r>
      <w:r>
        <w:rPr>
          <w:rFonts w:hint="eastAsia" w:ascii="仿宋_GB2312" w:hAnsi="仿宋_GB2312" w:eastAsia="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rPr>
        <w:t>人、残疾人</w:t>
      </w:r>
      <w:r>
        <w:rPr>
          <w:rFonts w:hint="eastAsia" w:ascii="仿宋_GB2312" w:hAnsi="仿宋_GB2312" w:eastAsia="仿宋_GB2312" w:cs="仿宋_GB2312"/>
          <w:color w:val="auto"/>
          <w:sz w:val="32"/>
          <w:szCs w:val="32"/>
          <w:highlight w:val="none"/>
          <w:lang w:val="en-US" w:eastAsia="zh-CN"/>
        </w:rPr>
        <w:t>391</w:t>
      </w:r>
      <w:r>
        <w:rPr>
          <w:rFonts w:hint="eastAsia" w:ascii="仿宋_GB2312" w:hAnsi="仿宋_GB2312" w:eastAsia="仿宋_GB2312" w:cs="仿宋_GB2312"/>
          <w:color w:val="auto"/>
          <w:sz w:val="32"/>
          <w:szCs w:val="32"/>
          <w:highlight w:val="none"/>
        </w:rPr>
        <w:t>人，脱贫户</w:t>
      </w:r>
      <w:r>
        <w:rPr>
          <w:rFonts w:hint="eastAsia" w:ascii="仿宋_GB2312" w:hAnsi="仿宋_GB2312" w:eastAsia="仿宋_GB2312" w:cs="仿宋_GB2312"/>
          <w:color w:val="auto"/>
          <w:sz w:val="32"/>
          <w:szCs w:val="32"/>
          <w:highlight w:val="none"/>
          <w:lang w:val="en-US" w:eastAsia="zh-CN"/>
        </w:rPr>
        <w:t>293</w:t>
      </w:r>
      <w:r>
        <w:rPr>
          <w:rFonts w:hint="eastAsia" w:ascii="仿宋_GB2312" w:hAnsi="仿宋_GB2312" w:eastAsia="仿宋_GB2312" w:cs="仿宋_GB2312"/>
          <w:color w:val="auto"/>
          <w:sz w:val="32"/>
          <w:szCs w:val="32"/>
          <w:highlight w:val="none"/>
        </w:rPr>
        <w:t>人、三类人群</w:t>
      </w:r>
      <w:r>
        <w:rPr>
          <w:rFonts w:hint="eastAsia" w:ascii="仿宋_GB2312" w:hAnsi="仿宋_GB2312" w:eastAsia="仿宋_GB2312" w:cs="仿宋_GB2312"/>
          <w:color w:val="auto"/>
          <w:sz w:val="32"/>
          <w:szCs w:val="32"/>
          <w:highlight w:val="none"/>
          <w:lang w:val="en-US" w:eastAsia="zh-CN"/>
        </w:rPr>
        <w:t>153</w:t>
      </w:r>
      <w:r>
        <w:rPr>
          <w:rFonts w:hint="eastAsia" w:ascii="仿宋_GB2312" w:hAnsi="仿宋_GB2312" w:eastAsia="仿宋_GB2312" w:cs="仿宋_GB2312"/>
          <w:color w:val="auto"/>
          <w:sz w:val="32"/>
          <w:szCs w:val="32"/>
          <w:highlight w:val="none"/>
        </w:rPr>
        <w:t>人，其中签约初级包</w:t>
      </w:r>
      <w:r>
        <w:rPr>
          <w:rFonts w:hint="eastAsia" w:ascii="仿宋_GB2312" w:hAnsi="仿宋_GB2312" w:eastAsia="仿宋_GB2312" w:cs="仿宋_GB2312"/>
          <w:color w:val="auto"/>
          <w:sz w:val="32"/>
          <w:szCs w:val="32"/>
          <w:highlight w:val="none"/>
          <w:lang w:val="en-US" w:eastAsia="zh-CN"/>
        </w:rPr>
        <w:t>86</w:t>
      </w:r>
      <w:r>
        <w:rPr>
          <w:rFonts w:hint="eastAsia" w:ascii="仿宋_GB2312" w:hAnsi="仿宋_GB2312" w:eastAsia="仿宋_GB2312" w:cs="仿宋_GB2312"/>
          <w:color w:val="auto"/>
          <w:sz w:val="32"/>
          <w:szCs w:val="32"/>
          <w:highlight w:val="none"/>
        </w:rPr>
        <w:t>人，中级包</w:t>
      </w:r>
      <w:r>
        <w:rPr>
          <w:rFonts w:hint="eastAsia" w:ascii="仿宋_GB2312" w:hAnsi="仿宋_GB2312" w:eastAsia="仿宋_GB2312" w:cs="仿宋_GB2312"/>
          <w:color w:val="auto"/>
          <w:sz w:val="32"/>
          <w:szCs w:val="32"/>
          <w:highlight w:val="none"/>
          <w:lang w:val="en-US" w:eastAsia="zh-CN"/>
        </w:rPr>
        <w:t>67</w:t>
      </w:r>
      <w:r>
        <w:rPr>
          <w:rFonts w:hint="eastAsia" w:ascii="仿宋_GB2312" w:hAnsi="仿宋_GB2312" w:eastAsia="仿宋_GB2312" w:cs="仿宋_GB2312"/>
          <w:color w:val="auto"/>
          <w:sz w:val="32"/>
          <w:szCs w:val="32"/>
          <w:highlight w:val="none"/>
        </w:rPr>
        <w:t>人，并进行每季度1次随访，一般人群落实了基础包服务。</w:t>
      </w:r>
    </w:p>
    <w:p w14:paraId="3059AF42">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rPr>
        <w:t>.免费孕前优生检查工作。完成免费孕前优生健康检查项目任务数</w:t>
      </w:r>
      <w:r>
        <w:rPr>
          <w:rFonts w:hint="eastAsia" w:ascii="仿宋_GB2312" w:hAnsi="仿宋_GB2312" w:eastAsia="仿宋_GB2312" w:cs="仿宋_GB2312"/>
          <w:color w:val="auto"/>
          <w:sz w:val="32"/>
          <w:szCs w:val="32"/>
          <w:highlight w:val="none"/>
          <w:lang w:val="en-US" w:eastAsia="zh-CN"/>
        </w:rPr>
        <w:t>42</w:t>
      </w:r>
      <w:r>
        <w:rPr>
          <w:rFonts w:hint="eastAsia" w:ascii="仿宋_GB2312" w:hAnsi="仿宋_GB2312" w:eastAsia="仿宋_GB2312" w:cs="仿宋_GB2312"/>
          <w:color w:val="auto"/>
          <w:sz w:val="32"/>
          <w:szCs w:val="32"/>
          <w:highlight w:val="none"/>
        </w:rPr>
        <w:t>对。</w:t>
      </w:r>
    </w:p>
    <w:p w14:paraId="6CFF91EE">
      <w:pPr>
        <w:pStyle w:val="7"/>
        <w:keepNext w:val="0"/>
        <w:keepLines w:val="0"/>
        <w:pageBreakBefore w:val="0"/>
        <w:kinsoku/>
        <w:wordWrap/>
        <w:overflowPunct/>
        <w:topLinePunct w:val="0"/>
        <w:autoSpaceDE/>
        <w:autoSpaceDN/>
        <w:bidi w:val="0"/>
        <w:adjustRightInd w:val="0"/>
        <w:snapToGrid/>
        <w:spacing w:beforeAutospacing="0" w:afterAutospacing="0" w:line="600" w:lineRule="exact"/>
        <w:ind w:left="0" w:leftChars="0" w:right="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14.地方病防治工作。2023年地方病防治工作完成率100%。</w:t>
      </w:r>
    </w:p>
    <w:p w14:paraId="4D38C56C">
      <w:pPr>
        <w:pStyle w:val="7"/>
        <w:keepNext w:val="0"/>
        <w:keepLines w:val="0"/>
        <w:pageBreakBefore w:val="0"/>
        <w:widowControl/>
        <w:kinsoku/>
        <w:wordWrap/>
        <w:overflowPunct/>
        <w:topLinePunct w:val="0"/>
        <w:autoSpaceDE/>
        <w:autoSpaceDN/>
        <w:bidi w:val="0"/>
        <w:snapToGrid/>
        <w:spacing w:beforeAutospacing="0" w:afterAutospacing="0" w:line="600" w:lineRule="exact"/>
        <w:ind w:left="0" w:leftChars="0" w:right="0" w:firstLine="643" w:firstLineChars="200"/>
        <w:jc w:val="both"/>
        <w:textAlignment w:val="auto"/>
        <w:rPr>
          <w:rFonts w:ascii="仿宋_GB2312" w:hAnsi="仿宋_GB2312" w:eastAsia="仿宋_GB2312" w:cs="仿宋_GB2312"/>
          <w:b/>
          <w:bCs/>
          <w:color w:val="333333"/>
          <w:sz w:val="32"/>
          <w:szCs w:val="32"/>
          <w:highlight w:val="none"/>
          <w:shd w:val="clear" w:color="auto" w:fill="FFFFFF"/>
        </w:rPr>
      </w:pPr>
      <w:r>
        <w:rPr>
          <w:rFonts w:hint="eastAsia" w:ascii="仿宋_GB2312" w:hAnsi="仿宋_GB2312" w:eastAsia="仿宋_GB2312" w:cs="仿宋_GB2312"/>
          <w:b/>
          <w:bCs/>
          <w:color w:val="333333"/>
          <w:sz w:val="32"/>
          <w:szCs w:val="32"/>
          <w:highlight w:val="none"/>
          <w:shd w:val="clear" w:color="auto" w:fill="FFFFFF"/>
        </w:rPr>
        <w:t>（四）绩效评价结论</w:t>
      </w:r>
    </w:p>
    <w:p w14:paraId="471B930A">
      <w:pPr>
        <w:pStyle w:val="7"/>
        <w:keepNext w:val="0"/>
        <w:keepLines w:val="0"/>
        <w:pageBreakBefore w:val="0"/>
        <w:widowControl/>
        <w:kinsoku/>
        <w:wordWrap/>
        <w:overflowPunct/>
        <w:topLinePunct w:val="0"/>
        <w:autoSpaceDE/>
        <w:autoSpaceDN/>
        <w:bidi w:val="0"/>
        <w:snapToGrid/>
        <w:spacing w:beforeAutospacing="0" w:afterAutospacing="0" w:line="600" w:lineRule="exact"/>
        <w:ind w:left="0" w:leftChars="0" w:right="0" w:firstLine="640" w:firstLineChars="200"/>
        <w:jc w:val="both"/>
        <w:textAlignment w:val="auto"/>
        <w:rPr>
          <w:rFonts w:ascii="仿宋_GB2312" w:hAnsi="仿宋_GB2312" w:eastAsia="仿宋_GB2312" w:cs="仿宋_GB2312"/>
          <w:color w:val="333333"/>
          <w:sz w:val="32"/>
          <w:szCs w:val="32"/>
          <w:highlight w:val="none"/>
          <w:shd w:val="clear" w:color="auto" w:fill="FFFFFF"/>
        </w:rPr>
      </w:pPr>
      <w:r>
        <w:rPr>
          <w:rFonts w:hint="eastAsia" w:ascii="仿宋_GB2312" w:hAnsi="仿宋_GB2312" w:eastAsia="仿宋_GB2312" w:cs="仿宋_GB2312"/>
          <w:color w:val="333333"/>
          <w:sz w:val="32"/>
          <w:szCs w:val="32"/>
          <w:highlight w:val="none"/>
          <w:shd w:val="clear" w:color="auto" w:fill="FFFFFF"/>
        </w:rPr>
        <w:t>202</w:t>
      </w:r>
      <w:r>
        <w:rPr>
          <w:rFonts w:hint="eastAsia" w:ascii="仿宋_GB2312" w:hAnsi="仿宋_GB2312" w:eastAsia="仿宋_GB2312" w:cs="仿宋_GB2312"/>
          <w:color w:val="333333"/>
          <w:sz w:val="32"/>
          <w:szCs w:val="32"/>
          <w:highlight w:val="none"/>
          <w:shd w:val="clear" w:color="auto" w:fill="FFFFFF"/>
          <w:lang w:val="en-US" w:eastAsia="zh-CN"/>
        </w:rPr>
        <w:t>3</w:t>
      </w:r>
      <w:r>
        <w:rPr>
          <w:rFonts w:hint="eastAsia" w:ascii="仿宋_GB2312" w:hAnsi="仿宋_GB2312" w:eastAsia="仿宋_GB2312" w:cs="仿宋_GB2312"/>
          <w:color w:val="333333"/>
          <w:sz w:val="32"/>
          <w:szCs w:val="32"/>
          <w:highlight w:val="none"/>
          <w:shd w:val="clear" w:color="auto" w:fill="FFFFFF"/>
        </w:rPr>
        <w:t>年，我</w:t>
      </w:r>
      <w:r>
        <w:rPr>
          <w:rFonts w:hint="eastAsia" w:ascii="仿宋_GB2312" w:hAnsi="仿宋_GB2312" w:eastAsia="仿宋_GB2312" w:cs="仿宋_GB2312"/>
          <w:color w:val="333333"/>
          <w:sz w:val="32"/>
          <w:szCs w:val="32"/>
          <w:highlight w:val="none"/>
          <w:shd w:val="clear" w:color="auto" w:fill="FFFFFF"/>
          <w:lang w:val="en-US" w:eastAsia="zh-CN"/>
        </w:rPr>
        <w:t>院</w:t>
      </w:r>
      <w:r>
        <w:rPr>
          <w:rFonts w:hint="eastAsia" w:ascii="仿宋_GB2312" w:hAnsi="仿宋_GB2312" w:eastAsia="仿宋_GB2312" w:cs="仿宋_GB2312"/>
          <w:color w:val="333333"/>
          <w:sz w:val="32"/>
          <w:szCs w:val="32"/>
          <w:highlight w:val="none"/>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14:paraId="405B8BC6">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ascii="黑体" w:hAnsi="黑体" w:eastAsia="黑体"/>
          <w:sz w:val="32"/>
          <w:szCs w:val="32"/>
          <w:highlight w:val="none"/>
        </w:rPr>
      </w:pPr>
      <w:r>
        <w:rPr>
          <w:rFonts w:hint="eastAsia" w:ascii="黑体" w:hAnsi="黑体" w:eastAsia="黑体"/>
          <w:sz w:val="32"/>
          <w:szCs w:val="32"/>
          <w:highlight w:val="none"/>
        </w:rPr>
        <w:t>四、自评结论</w:t>
      </w:r>
    </w:p>
    <w:p w14:paraId="4175B71F">
      <w:pPr>
        <w:keepNext w:val="0"/>
        <w:keepLines w:val="0"/>
        <w:pageBreakBefore w:val="0"/>
        <w:kinsoku/>
        <w:wordWrap/>
        <w:overflowPunct/>
        <w:topLinePunct w:val="0"/>
        <w:autoSpaceDE/>
        <w:autoSpaceDN/>
        <w:bidi w:val="0"/>
        <w:snapToGrid/>
        <w:spacing w:line="600" w:lineRule="exact"/>
        <w:ind w:left="0" w:leftChars="0" w:right="0" w:firstLine="640" w:firstLineChars="200"/>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SA"/>
        </w:rPr>
      </w:pPr>
      <w:r>
        <w:rPr>
          <w:rFonts w:hint="eastAsia" w:ascii="仿宋_GB2312" w:hAnsi="仿宋_GB2312" w:eastAsia="仿宋_GB2312" w:cs="仿宋_GB2312"/>
          <w:color w:val="333333"/>
          <w:kern w:val="0"/>
          <w:sz w:val="32"/>
          <w:szCs w:val="32"/>
          <w:highlight w:val="none"/>
          <w:shd w:val="clear" w:color="auto" w:fill="FFFFFF"/>
          <w:lang w:val="en-US" w:eastAsia="zh-CN" w:bidi="ar-SA"/>
        </w:rPr>
        <w:t>通过绩效自评，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14:paraId="24064C13">
      <w:pPr>
        <w:pStyle w:val="2"/>
        <w:keepNext w:val="0"/>
        <w:keepLines w:val="0"/>
        <w:pageBreakBefore w:val="0"/>
        <w:kinsoku/>
        <w:wordWrap/>
        <w:overflowPunct/>
        <w:topLinePunct w:val="0"/>
        <w:autoSpaceDE/>
        <w:autoSpaceDN/>
        <w:bidi w:val="0"/>
        <w:snapToGrid/>
        <w:spacing w:after="0" w:line="600" w:lineRule="exact"/>
        <w:ind w:left="0" w:leftChars="0"/>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SA"/>
        </w:rPr>
      </w:pPr>
    </w:p>
    <w:p w14:paraId="66446847">
      <w:pPr>
        <w:pStyle w:val="3"/>
        <w:keepNext w:val="0"/>
        <w:keepLines w:val="0"/>
        <w:pageBreakBefore w:val="0"/>
        <w:kinsoku/>
        <w:wordWrap/>
        <w:overflowPunct/>
        <w:topLinePunct w:val="0"/>
        <w:autoSpaceDE/>
        <w:autoSpaceDN/>
        <w:bidi w:val="0"/>
        <w:snapToGrid/>
        <w:spacing w:line="600" w:lineRule="exact"/>
        <w:ind w:left="0" w:leftChars="0"/>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SA"/>
        </w:rPr>
      </w:pPr>
    </w:p>
    <w:p w14:paraId="2AC06920">
      <w:pPr>
        <w:pStyle w:val="4"/>
        <w:keepNext w:val="0"/>
        <w:keepLines w:val="0"/>
        <w:pageBreakBefore w:val="0"/>
        <w:kinsoku/>
        <w:wordWrap/>
        <w:overflowPunct/>
        <w:topLinePunct w:val="0"/>
        <w:autoSpaceDE/>
        <w:autoSpaceDN/>
        <w:bidi w:val="0"/>
        <w:snapToGrid/>
        <w:spacing w:line="600" w:lineRule="exact"/>
        <w:ind w:left="0" w:leftChars="0" w:firstLine="4800" w:firstLineChars="1500"/>
        <w:textAlignment w:val="auto"/>
        <w:rPr>
          <w:rFonts w:hint="eastAsia" w:ascii="仿宋_GB2312" w:hAnsi="仿宋_GB2312" w:eastAsia="仿宋_GB2312" w:cs="仿宋_GB2312"/>
          <w:color w:val="333333"/>
          <w:kern w:val="0"/>
          <w:sz w:val="32"/>
          <w:szCs w:val="32"/>
          <w:highlight w:val="none"/>
          <w:shd w:val="clear" w:color="auto" w:fill="FFFFFF"/>
          <w:lang w:val="en-US" w:eastAsia="zh-CN" w:bidi="ar-SA"/>
        </w:rPr>
      </w:pPr>
      <w:r>
        <w:rPr>
          <w:rFonts w:hint="eastAsia" w:ascii="仿宋_GB2312" w:hAnsi="仿宋_GB2312" w:eastAsia="仿宋_GB2312" w:cs="仿宋_GB2312"/>
          <w:color w:val="333333"/>
          <w:kern w:val="0"/>
          <w:sz w:val="32"/>
          <w:szCs w:val="32"/>
          <w:highlight w:val="none"/>
          <w:shd w:val="clear" w:color="auto" w:fill="FFFFFF"/>
          <w:lang w:val="en-US" w:eastAsia="zh-CN" w:bidi="ar-SA"/>
        </w:rPr>
        <w:t>山丹县霍城镇卫生院</w:t>
      </w:r>
    </w:p>
    <w:p w14:paraId="3C15B295">
      <w:pPr>
        <w:keepNext w:val="0"/>
        <w:keepLines w:val="0"/>
        <w:pageBreakBefore w:val="0"/>
        <w:kinsoku/>
        <w:wordWrap/>
        <w:overflowPunct/>
        <w:topLinePunct w:val="0"/>
        <w:autoSpaceDE/>
        <w:autoSpaceDN/>
        <w:bidi w:val="0"/>
        <w:snapToGrid/>
        <w:spacing w:line="600" w:lineRule="exact"/>
        <w:ind w:left="0" w:leftChars="0" w:firstLine="5120" w:firstLineChars="1600"/>
        <w:textAlignment w:val="auto"/>
        <w:rPr>
          <w:rFonts w:hint="default"/>
          <w:lang w:val="en-US"/>
        </w:rPr>
      </w:pPr>
      <w:r>
        <w:rPr>
          <w:rFonts w:hint="eastAsia" w:ascii="仿宋_GB2312" w:hAnsi="仿宋_GB2312" w:eastAsia="仿宋_GB2312" w:cs="仿宋_GB2312"/>
          <w:color w:val="333333"/>
          <w:kern w:val="0"/>
          <w:sz w:val="32"/>
          <w:szCs w:val="32"/>
          <w:highlight w:val="none"/>
          <w:shd w:val="clear" w:color="auto" w:fill="FFFFFF"/>
          <w:lang w:val="en-US" w:eastAsia="zh-CN" w:bidi="ar-SA"/>
        </w:rPr>
        <w:t>2023年12月22日</w:t>
      </w:r>
    </w:p>
    <w:sectPr>
      <w:pgSz w:w="11906" w:h="16838"/>
      <w:pgMar w:top="1984" w:right="1587" w:bottom="158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U0NWExZWQwNjlkY2Y4MWQ1YzA3OGI5MzFhOGUxM2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5BA4C10"/>
    <w:rsid w:val="07FA3A87"/>
    <w:rsid w:val="0C774C9E"/>
    <w:rsid w:val="0ECA2393"/>
    <w:rsid w:val="0FC347E0"/>
    <w:rsid w:val="102A7BD9"/>
    <w:rsid w:val="104E53BF"/>
    <w:rsid w:val="108D558D"/>
    <w:rsid w:val="12261921"/>
    <w:rsid w:val="13E351D5"/>
    <w:rsid w:val="1C9B4714"/>
    <w:rsid w:val="2BEE2168"/>
    <w:rsid w:val="2CC57CA3"/>
    <w:rsid w:val="2E2D664D"/>
    <w:rsid w:val="31615AAE"/>
    <w:rsid w:val="33D62126"/>
    <w:rsid w:val="3D184EE5"/>
    <w:rsid w:val="41641317"/>
    <w:rsid w:val="41B255FA"/>
    <w:rsid w:val="453141A7"/>
    <w:rsid w:val="48A614F7"/>
    <w:rsid w:val="4A987CDE"/>
    <w:rsid w:val="55E551A4"/>
    <w:rsid w:val="6155027F"/>
    <w:rsid w:val="6945180A"/>
    <w:rsid w:val="725072C1"/>
    <w:rsid w:val="74FB6016"/>
    <w:rsid w:val="773856EB"/>
    <w:rsid w:val="77F776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2"/>
    <w:basedOn w:val="1"/>
    <w:next w:val="3"/>
    <w:autoRedefine/>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autoRedefine/>
    <w:qFormat/>
    <w:uiPriority w:val="0"/>
  </w:style>
  <w:style w:type="paragraph" w:styleId="4">
    <w:name w:val="toc 5"/>
    <w:basedOn w:val="1"/>
    <w:next w:val="1"/>
    <w:autoRedefine/>
    <w:qFormat/>
    <w:uiPriority w:val="0"/>
    <w:pPr>
      <w:spacing w:line="600" w:lineRule="exact"/>
      <w:ind w:firstLine="720" w:firstLineChars="200"/>
    </w:pPr>
  </w:style>
  <w:style w:type="paragraph" w:styleId="5">
    <w:name w:val="footer"/>
    <w:basedOn w:val="1"/>
    <w:link w:val="11"/>
    <w:autoRedefine/>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spacing w:beforeAutospacing="1" w:afterAutospacing="1"/>
      <w:jc w:val="left"/>
    </w:pPr>
    <w:rPr>
      <w:rFonts w:cs="Times New Roman"/>
      <w:kern w:val="0"/>
      <w:sz w:val="24"/>
    </w:rPr>
  </w:style>
  <w:style w:type="character" w:customStyle="1" w:styleId="10">
    <w:name w:val="页眉 Char"/>
    <w:basedOn w:val="9"/>
    <w:link w:val="6"/>
    <w:autoRedefine/>
    <w:qFormat/>
    <w:uiPriority w:val="0"/>
    <w:rPr>
      <w:rFonts w:ascii="Calibri"/>
      <w:kern w:val="2"/>
      <w:sz w:val="18"/>
      <w:szCs w:val="18"/>
    </w:rPr>
  </w:style>
  <w:style w:type="character" w:customStyle="1" w:styleId="11">
    <w:name w:val="页脚 Char"/>
    <w:basedOn w:val="9"/>
    <w:link w:val="5"/>
    <w:autoRedefine/>
    <w:qFormat/>
    <w:uiPriority w:val="0"/>
    <w:rPr>
      <w:rFonts w:ascii="Calibri"/>
      <w:kern w:val="2"/>
      <w:sz w:val="18"/>
      <w:szCs w:val="18"/>
    </w:rPr>
  </w:style>
  <w:style w:type="character" w:customStyle="1" w:styleId="12">
    <w:name w:val="text-selectable"/>
    <w:basedOn w:val="9"/>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2555</Words>
  <Characters>2812</Characters>
  <Lines>1</Lines>
  <Paragraphs>1</Paragraphs>
  <TotalTime>23</TotalTime>
  <ScaleCrop>false</ScaleCrop>
  <LinksUpToDate>false</LinksUpToDate>
  <CharactersWithSpaces>2814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四通印务</cp:lastModifiedBy>
  <cp:lastPrinted>2024-08-20T00:37:21Z</cp:lastPrinted>
  <dcterms:modified xsi:type="dcterms:W3CDTF">2024-08-20T00:37:24Z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DC2FAAD9927346D9A6F827C9A214EB4C_12</vt:lpwstr>
  </property>
</Properties>
</file>