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273AE">
      <w:pPr>
        <w:jc w:val="left"/>
        <w:rPr>
          <w:rFonts w:ascii="黑体" w:hAnsi="黑体" w:eastAsia="黑体"/>
          <w:sz w:val="32"/>
          <w:szCs w:val="32"/>
        </w:rPr>
      </w:pPr>
      <w:r>
        <w:rPr>
          <w:rFonts w:hint="eastAsia" w:ascii="黑体" w:hAnsi="黑体" w:eastAsia="黑体"/>
          <w:sz w:val="32"/>
          <w:szCs w:val="32"/>
        </w:rPr>
        <w:t>附件5</w:t>
      </w:r>
    </w:p>
    <w:p w14:paraId="7FB201A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山丹县老军乡卫生院</w:t>
      </w:r>
    </w:p>
    <w:p w14:paraId="3E27B6B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项目支出绩效自评报告</w:t>
      </w:r>
    </w:p>
    <w:p w14:paraId="17322FC7">
      <w:pPr>
        <w:pStyle w:val="2"/>
      </w:pPr>
    </w:p>
    <w:p w14:paraId="638F34F5">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eastAsia="黑体"/>
          <w:sz w:val="32"/>
          <w:szCs w:val="32"/>
        </w:rPr>
      </w:pPr>
      <w:r>
        <w:rPr>
          <w:rFonts w:hint="eastAsia" w:eastAsia="黑体"/>
          <w:sz w:val="32"/>
          <w:szCs w:val="32"/>
        </w:rPr>
        <w:t>一、项目基本情况</w:t>
      </w:r>
    </w:p>
    <w:p w14:paraId="7A20F7A7">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14:paraId="6F8E8743">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b w:val="0"/>
          <w:bCs w:val="0"/>
          <w:i w:val="0"/>
          <w:iCs w:val="0"/>
          <w:caps w:val="0"/>
          <w:color w:val="000000"/>
          <w:spacing w:val="-4"/>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eastAsia="zh-CN"/>
        </w:rPr>
        <w:t>老军乡常驻</w:t>
      </w:r>
      <w:r>
        <w:rPr>
          <w:rFonts w:hint="eastAsia" w:ascii="仿宋_GB2312" w:hAnsi="宋体" w:eastAsia="仿宋_GB2312" w:cs="仿宋_GB2312"/>
          <w:i w:val="0"/>
          <w:iCs w:val="0"/>
          <w:caps w:val="0"/>
          <w:color w:val="000000"/>
          <w:spacing w:val="0"/>
          <w:sz w:val="32"/>
          <w:szCs w:val="32"/>
          <w:shd w:val="clear" w:fill="FFFFFF"/>
        </w:rPr>
        <w:t>人口</w:t>
      </w:r>
      <w:r>
        <w:rPr>
          <w:rFonts w:hint="eastAsia" w:ascii="仿宋_GB2312" w:hAnsi="宋体" w:eastAsia="仿宋_GB2312" w:cs="仿宋_GB2312"/>
          <w:i w:val="0"/>
          <w:iCs w:val="0"/>
          <w:caps w:val="0"/>
          <w:color w:val="000000"/>
          <w:spacing w:val="0"/>
          <w:sz w:val="32"/>
          <w:szCs w:val="32"/>
          <w:shd w:val="clear" w:fill="FFFFFF"/>
          <w:lang w:val="en-US" w:eastAsia="zh-CN"/>
        </w:rPr>
        <w:t>4491</w:t>
      </w:r>
      <w:r>
        <w:rPr>
          <w:rFonts w:hint="eastAsia" w:ascii="仿宋_GB2312" w:hAnsi="宋体" w:eastAsia="仿宋_GB2312" w:cs="仿宋_GB2312"/>
          <w:i w:val="0"/>
          <w:iCs w:val="0"/>
          <w:caps w:val="0"/>
          <w:color w:val="000000"/>
          <w:spacing w:val="0"/>
          <w:sz w:val="32"/>
          <w:szCs w:val="32"/>
          <w:shd w:val="clear" w:fill="FFFFFF"/>
        </w:rPr>
        <w:t>人，共有</w:t>
      </w:r>
      <w:r>
        <w:rPr>
          <w:rFonts w:hint="eastAsia" w:ascii="仿宋_GB2312" w:hAnsi="宋体" w:eastAsia="仿宋_GB2312" w:cs="仿宋_GB2312"/>
          <w:i w:val="0"/>
          <w:iCs w:val="0"/>
          <w:caps w:val="0"/>
          <w:color w:val="000000"/>
          <w:spacing w:val="0"/>
          <w:sz w:val="32"/>
          <w:szCs w:val="32"/>
          <w:shd w:val="clear" w:fill="FFFFFF"/>
          <w:lang w:val="en-US" w:eastAsia="zh-CN"/>
        </w:rPr>
        <w:t>1个卫生院和</w:t>
      </w:r>
      <w:r>
        <w:rPr>
          <w:rFonts w:hint="eastAsia" w:ascii="仿宋_GB2312" w:hAnsi="宋体" w:eastAsia="仿宋_GB2312" w:cs="仿宋_GB2312"/>
          <w:b w:val="0"/>
          <w:bCs w:val="0"/>
          <w:i w:val="0"/>
          <w:iCs w:val="0"/>
          <w:caps w:val="0"/>
          <w:color w:val="000000"/>
          <w:spacing w:val="0"/>
          <w:sz w:val="32"/>
          <w:szCs w:val="32"/>
          <w:shd w:val="clear" w:fill="FFFFFF"/>
        </w:rPr>
        <w:t>所辖</w:t>
      </w:r>
      <w:r>
        <w:rPr>
          <w:rFonts w:hint="eastAsia" w:ascii="仿宋_GB2312" w:hAnsi="宋体" w:eastAsia="仿宋_GB2312" w:cs="仿宋_GB2312"/>
          <w:b w:val="0"/>
          <w:bCs w:val="0"/>
          <w:i w:val="0"/>
          <w:iCs w:val="0"/>
          <w:caps w:val="0"/>
          <w:color w:val="000000"/>
          <w:spacing w:val="0"/>
          <w:sz w:val="32"/>
          <w:szCs w:val="32"/>
          <w:shd w:val="clear" w:fill="FFFFFF"/>
          <w:lang w:val="en-US" w:eastAsia="zh-CN"/>
        </w:rPr>
        <w:t>5个</w:t>
      </w:r>
      <w:r>
        <w:rPr>
          <w:rFonts w:hint="eastAsia" w:ascii="仿宋_GB2312" w:hAnsi="宋体" w:eastAsia="仿宋_GB2312" w:cs="仿宋_GB2312"/>
          <w:b w:val="0"/>
          <w:bCs w:val="0"/>
          <w:i w:val="0"/>
          <w:iCs w:val="0"/>
          <w:caps w:val="0"/>
          <w:color w:val="000000"/>
          <w:spacing w:val="0"/>
          <w:sz w:val="32"/>
          <w:szCs w:val="32"/>
          <w:shd w:val="clear" w:fill="FFFFFF"/>
        </w:rPr>
        <w:t>村卫生室</w:t>
      </w:r>
      <w:r>
        <w:rPr>
          <w:rFonts w:hint="eastAsia" w:ascii="仿宋_GB2312" w:hAnsi="宋体" w:eastAsia="仿宋_GB2312" w:cs="仿宋_GB2312"/>
          <w:b w:val="0"/>
          <w:bCs w:val="0"/>
          <w:i w:val="0"/>
          <w:iCs w:val="0"/>
          <w:caps w:val="0"/>
          <w:color w:val="000000"/>
          <w:spacing w:val="-4"/>
          <w:sz w:val="32"/>
          <w:szCs w:val="32"/>
          <w:shd w:val="clear" w:fill="FFFFFF"/>
        </w:rPr>
        <w:t>是基本公共卫生服务项目的实施主体，负责为辖区居民提供基本公共卫生服务。</w:t>
      </w:r>
    </w:p>
    <w:p w14:paraId="265C66C8">
      <w:pPr>
        <w:pStyle w:val="2"/>
        <w:keepNext w:val="0"/>
        <w:keepLines w:val="0"/>
        <w:pageBreakBefore w:val="0"/>
        <w:kinsoku/>
        <w:wordWrap/>
        <w:overflowPunct/>
        <w:topLinePunct w:val="0"/>
        <w:autoSpaceDE/>
        <w:autoSpaceDN/>
        <w:bidi w:val="0"/>
        <w:snapToGrid/>
        <w:spacing w:after="0" w:line="560" w:lineRule="exact"/>
        <w:ind w:left="0" w:leftChars="0" w:right="0" w:firstLine="640" w:firstLineChars="200"/>
        <w:textAlignment w:val="auto"/>
        <w:rPr>
          <w:rFonts w:hint="eastAsia" w:eastAsia="仿宋_GB2312"/>
          <w:lang w:val="en-US" w:eastAsia="zh-CN"/>
        </w:rPr>
      </w:pPr>
      <w:r>
        <w:rPr>
          <w:rFonts w:ascii="仿宋_GB2312" w:hAnsi="宋体" w:eastAsia="仿宋_GB2312" w:cs="仿宋_GB2312"/>
          <w:i w:val="0"/>
          <w:iCs w:val="0"/>
          <w:caps w:val="0"/>
          <w:color w:val="000000"/>
          <w:spacing w:val="0"/>
          <w:sz w:val="32"/>
          <w:szCs w:val="32"/>
          <w:shd w:val="clear" w:fill="FFFFFF"/>
        </w:rPr>
        <w:t>项目内容</w:t>
      </w:r>
      <w:r>
        <w:rPr>
          <w:rFonts w:hint="eastAsia" w:ascii="仿宋_GB2312" w:hAnsi="宋体" w:eastAsia="仿宋_GB2312" w:cs="仿宋_GB2312"/>
          <w:i w:val="0"/>
          <w:iCs w:val="0"/>
          <w:caps w:val="0"/>
          <w:color w:val="000000"/>
          <w:spacing w:val="0"/>
          <w:sz w:val="32"/>
          <w:szCs w:val="32"/>
          <w:shd w:val="clear" w:fill="FFFFFF"/>
        </w:rPr>
        <w:t>包括：居民健康档案管理，健康教育服务，预防接种，传染病及突发公共卫生事件报告和处理，0-6儿童健康管理，孕产妇健康管理，65岁以上老年人健康管理，重性精神疾病健康管理，卫生监督协管，慢性病管理，肺结核管理，中医药健康管理等1</w:t>
      </w:r>
      <w:r>
        <w:rPr>
          <w:rFonts w:hint="eastAsia" w:ascii="仿宋_GB2312" w:hAnsi="宋体" w:cs="仿宋_GB2312"/>
          <w:i w:val="0"/>
          <w:iCs w:val="0"/>
          <w:caps w:val="0"/>
          <w:color w:val="000000"/>
          <w:spacing w:val="0"/>
          <w:sz w:val="32"/>
          <w:szCs w:val="32"/>
          <w:shd w:val="clear" w:fill="FFFFFF"/>
          <w:lang w:val="en-US" w:eastAsia="zh-CN"/>
        </w:rPr>
        <w:t>4</w:t>
      </w:r>
      <w:r>
        <w:rPr>
          <w:rFonts w:hint="eastAsia" w:ascii="仿宋_GB2312" w:hAnsi="宋体" w:eastAsia="仿宋_GB2312" w:cs="仿宋_GB2312"/>
          <w:i w:val="0"/>
          <w:iCs w:val="0"/>
          <w:caps w:val="0"/>
          <w:color w:val="000000"/>
          <w:spacing w:val="0"/>
          <w:sz w:val="32"/>
          <w:szCs w:val="32"/>
          <w:shd w:val="clear" w:fill="FFFFFF"/>
        </w:rPr>
        <w:t>类项目</w:t>
      </w:r>
      <w:r>
        <w:rPr>
          <w:rFonts w:hint="eastAsia" w:ascii="仿宋_GB2312" w:hAnsi="宋体" w:eastAsia="仿宋_GB2312" w:cs="仿宋_GB2312"/>
          <w:b w:val="0"/>
          <w:bCs w:val="0"/>
          <w:i w:val="0"/>
          <w:iCs w:val="0"/>
          <w:caps w:val="0"/>
          <w:color w:val="000000"/>
          <w:spacing w:val="-4"/>
          <w:sz w:val="32"/>
          <w:szCs w:val="32"/>
          <w:shd w:val="clear" w:fill="FFFFFF"/>
        </w:rPr>
        <w:t>。</w:t>
      </w:r>
    </w:p>
    <w:p w14:paraId="547B1A3D">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14:paraId="41362449">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eastAsia="zh-CN"/>
        </w:rPr>
        <w:t>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lang w:eastAsia="zh-CN"/>
        </w:rPr>
        <w:t>年年初，根据基层医疗卫生机构的人均经费补助标准对基本公共卫生服务项目资金进行年度预算，根据年底</w:t>
      </w:r>
      <w:r>
        <w:rPr>
          <w:rFonts w:hint="eastAsia" w:ascii="仿宋_GB2312" w:hAnsi="宋体" w:eastAsia="仿宋_GB2312" w:cs="仿宋_GB2312"/>
          <w:i w:val="0"/>
          <w:iCs w:val="0"/>
          <w:caps w:val="0"/>
          <w:color w:val="000000"/>
          <w:spacing w:val="0"/>
          <w:sz w:val="32"/>
          <w:szCs w:val="32"/>
          <w:shd w:val="clear" w:fill="FFFFFF"/>
          <w:lang w:val="en-US" w:eastAsia="zh-CN"/>
        </w:rPr>
        <w:t xml:space="preserve">  </w:t>
      </w:r>
      <w:r>
        <w:rPr>
          <w:rFonts w:hint="eastAsia" w:ascii="仿宋_GB2312" w:hAnsi="宋体" w:eastAsia="仿宋_GB2312" w:cs="仿宋_GB2312"/>
          <w:i w:val="0"/>
          <w:iCs w:val="0"/>
          <w:caps w:val="0"/>
          <w:color w:val="000000"/>
          <w:spacing w:val="0"/>
          <w:sz w:val="32"/>
          <w:szCs w:val="32"/>
          <w:shd w:val="clear" w:fill="FFFFFF"/>
          <w:lang w:eastAsia="zh-CN"/>
        </w:rPr>
        <w:t>考核结果分值及结合常驻人口清算下达基本公共卫生服务资金。202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lang w:eastAsia="zh-CN"/>
        </w:rPr>
        <w:t>年省级下达基本公共卫生服务资金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42.27</w:t>
      </w:r>
      <w:r>
        <w:rPr>
          <w:rFonts w:hint="eastAsia" w:ascii="仿宋_GB2312" w:hAnsi="宋体" w:eastAsia="仿宋_GB2312" w:cs="仿宋_GB2312"/>
          <w:i w:val="0"/>
          <w:iCs w:val="0"/>
          <w:caps w:val="0"/>
          <w:color w:val="000000"/>
          <w:spacing w:val="0"/>
          <w:sz w:val="32"/>
          <w:szCs w:val="32"/>
          <w:shd w:val="clear" w:fill="FFFFFF"/>
          <w:lang w:eastAsia="zh-CN"/>
        </w:rPr>
        <w:t>万元，地方配套下达基本公共卫生服务资金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1.6</w:t>
      </w:r>
      <w:r>
        <w:rPr>
          <w:rFonts w:hint="eastAsia" w:ascii="仿宋_GB2312" w:hAnsi="宋体" w:eastAsia="仿宋_GB2312" w:cs="仿宋_GB2312"/>
          <w:i w:val="0"/>
          <w:iCs w:val="0"/>
          <w:caps w:val="0"/>
          <w:color w:val="000000"/>
          <w:spacing w:val="0"/>
          <w:sz w:val="32"/>
          <w:szCs w:val="32"/>
          <w:shd w:val="clear" w:fill="FFFFFF"/>
          <w:lang w:eastAsia="zh-CN"/>
        </w:rPr>
        <w:t>万元，共计下达资金</w:t>
      </w:r>
      <w:r>
        <w:rPr>
          <w:rFonts w:hint="eastAsia" w:ascii="仿宋_GB2312" w:hAnsi="宋体" w:eastAsia="仿宋_GB2312" w:cs="仿宋_GB2312"/>
          <w:i w:val="0"/>
          <w:iCs w:val="0"/>
          <w:caps w:val="0"/>
          <w:color w:val="000000"/>
          <w:spacing w:val="0"/>
          <w:sz w:val="32"/>
          <w:szCs w:val="32"/>
          <w:shd w:val="clear" w:fill="FFFFFF"/>
          <w:lang w:val="en-US" w:eastAsia="zh-CN"/>
        </w:rPr>
        <w:t>43.87</w:t>
      </w:r>
      <w:r>
        <w:rPr>
          <w:rFonts w:hint="eastAsia" w:ascii="仿宋_GB2312" w:hAnsi="宋体" w:eastAsia="仿宋_GB2312" w:cs="仿宋_GB2312"/>
          <w:i w:val="0"/>
          <w:iCs w:val="0"/>
          <w:caps w:val="0"/>
          <w:color w:val="000000"/>
          <w:spacing w:val="0"/>
          <w:sz w:val="32"/>
          <w:szCs w:val="32"/>
          <w:shd w:val="clear" w:fill="FFFFFF"/>
          <w:lang w:eastAsia="zh-CN"/>
        </w:rPr>
        <w:t>万元，目前已经全部清算下达。</w:t>
      </w:r>
    </w:p>
    <w:p w14:paraId="0C10F659">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项目依据：《国家基本公共卫生服务规范（第三版）》。</w:t>
      </w:r>
    </w:p>
    <w:p w14:paraId="2870361D">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val="en-US" w:eastAsia="zh-CN"/>
        </w:rPr>
        <w:sectPr>
          <w:footerReference r:id="rId3" w:type="default"/>
          <w:pgSz w:w="11906" w:h="16838"/>
          <w:pgMar w:top="1984" w:right="1587" w:bottom="1616" w:left="1587" w:header="851" w:footer="1191" w:gutter="0"/>
          <w:pgNumType w:fmt="numberInDash" w:start="1"/>
          <w:cols w:space="425" w:num="1"/>
          <w:docGrid w:type="lines" w:linePitch="312" w:charSpace="0"/>
        </w:sectPr>
      </w:pPr>
      <w:r>
        <w:rPr>
          <w:rFonts w:hint="eastAsia" w:ascii="仿宋_GB2312" w:hAnsi="宋体" w:eastAsia="仿宋_GB2312" w:cs="仿宋_GB2312"/>
          <w:i w:val="0"/>
          <w:iCs w:val="0"/>
          <w:caps w:val="0"/>
          <w:color w:val="000000"/>
          <w:spacing w:val="0"/>
          <w:sz w:val="32"/>
          <w:szCs w:val="32"/>
          <w:shd w:val="clear" w:fill="FFFFFF"/>
          <w:lang w:val="en-US" w:eastAsia="zh-CN"/>
        </w:rPr>
        <w:t>实施目的：通过实施基本公共卫生服务项目，对影响居民</w:t>
      </w:r>
    </w:p>
    <w:p w14:paraId="6F009F83">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健康的主要卫生问题实施干预，减少主要健康危险因素，有效预防和控制主要传染病及慢性病，使城乡居民逐步享有均等化的公共卫生服务。</w:t>
      </w:r>
    </w:p>
    <w:p w14:paraId="560EC2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32"/>
          <w:szCs w:val="32"/>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实施范围：辖区内常住居民（指居住半年以上的户籍及非户籍居民），以0-6儿童、孕产妇、老年人、慢性病患者等人群为重点。</w:t>
      </w:r>
    </w:p>
    <w:p w14:paraId="5E4EC7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32"/>
          <w:szCs w:val="32"/>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实施期限：2023年1月1日至2023年12月31日。</w:t>
      </w:r>
    </w:p>
    <w:p w14:paraId="63489D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仿宋_GB2312" w:hAnsi="微软雅黑" w:eastAsia="仿宋_GB2312" w:cs="仿宋_GB2312"/>
          <w:i w:val="0"/>
          <w:iCs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绩效目标：到2023年底，各项服务达到以下目标：适龄儿童国家免疫规划疫苗接种率保持在90%以上；7岁以下儿童健康管理率95%以上；0-6岁儿童眼保健和视力检查覆盖率90%以上；孕产妇系统管理率90%以上；3岁以下儿童系统管理率80%以上；老年人中医药健康管理率95%以上；儿童中医药健康管理率95%以上；卫生监督协管各专业每年巡查（访）2次完成率90%以上；居民规范化电子健康档案覆盖率95%以上；65岁及以上老年人规范健康管理服务率，高血压、糖尿病患者基层规范管理服务率均达到60%以上；社区在册居家严重精神障碍患者健康管理率4.5‰以上；肺结核患者管理率90%以上；传染病和突发公共卫生事件报告率95%以上；健康教育完成规定的年度工作任务同时不断提高基本公共卫生服务水平与服务对象满意度，不断缩小城乡居民公共卫生差距。</w:t>
      </w:r>
      <w:bookmarkStart w:id="0" w:name="_GoBack"/>
      <w:bookmarkEnd w:id="0"/>
    </w:p>
    <w:p w14:paraId="71ACE123">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eastAsia="黑体"/>
          <w:sz w:val="32"/>
          <w:szCs w:val="32"/>
        </w:rPr>
      </w:pPr>
      <w:r>
        <w:rPr>
          <w:rFonts w:hint="eastAsia" w:eastAsia="黑体"/>
          <w:sz w:val="32"/>
          <w:szCs w:val="32"/>
        </w:rPr>
        <w:t>二、项目资金情况</w:t>
      </w:r>
    </w:p>
    <w:p w14:paraId="27584140">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仿宋_GB2312" w:eastAsia="仿宋_GB2312"/>
          <w:sz w:val="32"/>
          <w:szCs w:val="32"/>
        </w:rPr>
      </w:pPr>
      <w:r>
        <w:rPr>
          <w:rFonts w:hint="eastAsia" w:ascii="仿宋_GB2312" w:eastAsia="仿宋_GB2312"/>
          <w:sz w:val="32"/>
          <w:szCs w:val="32"/>
        </w:rPr>
        <w:t>主要包括资金计划情况、资金到位情况及资金支出使用情况等内容。</w:t>
      </w:r>
    </w:p>
    <w:p w14:paraId="0D33C294">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eastAsia="黑体"/>
          <w:sz w:val="32"/>
          <w:szCs w:val="32"/>
        </w:rPr>
      </w:pPr>
      <w:r>
        <w:rPr>
          <w:rFonts w:hint="eastAsia" w:eastAsia="黑体"/>
          <w:sz w:val="32"/>
          <w:szCs w:val="32"/>
        </w:rPr>
        <w:t>三、绩效目标完成情况及效益分析</w:t>
      </w:r>
    </w:p>
    <w:p w14:paraId="188CFD46">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（一）资金投入情况分析</w:t>
      </w:r>
    </w:p>
    <w:p w14:paraId="5F1DD058">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eastAsia" w:ascii="仿宋_GB2312" w:eastAsia="仿宋_GB2312"/>
          <w:sz w:val="32"/>
          <w:szCs w:val="32"/>
          <w:lang w:val="en-US" w:eastAsia="zh-CN"/>
        </w:rPr>
        <w:t>43.87</w:t>
      </w:r>
      <w:r>
        <w:rPr>
          <w:rFonts w:hint="eastAsia" w:ascii="仿宋_GB2312" w:hAnsi="仿宋_GB2312" w:eastAsia="仿宋_GB2312" w:cs="仿宋_GB2312"/>
          <w:sz w:val="32"/>
          <w:szCs w:val="32"/>
        </w:rPr>
        <w:t>万元，其中财政补助</w:t>
      </w:r>
      <w:r>
        <w:rPr>
          <w:rFonts w:hint="eastAsia" w:ascii="仿宋_GB2312" w:eastAsia="仿宋_GB2312"/>
          <w:sz w:val="32"/>
          <w:szCs w:val="32"/>
          <w:lang w:val="en-US" w:eastAsia="zh-CN"/>
        </w:rPr>
        <w:t>43.87</w:t>
      </w:r>
      <w:r>
        <w:rPr>
          <w:rFonts w:hint="eastAsia" w:ascii="仿宋_GB2312" w:hAnsi="仿宋_GB2312" w:eastAsia="仿宋_GB2312" w:cs="仿宋_GB2312"/>
          <w:sz w:val="32"/>
          <w:szCs w:val="32"/>
        </w:rPr>
        <w:t>万元，财政补助资金全部足额到位。</w:t>
      </w:r>
    </w:p>
    <w:p w14:paraId="0C17462C">
      <w:pPr>
        <w:pStyle w:val="7"/>
        <w:keepNext w:val="0"/>
        <w:keepLines w:val="0"/>
        <w:pageBreakBefore w:val="0"/>
        <w:widowControl/>
        <w:numPr>
          <w:ilvl w:val="0"/>
          <w:numId w:val="1"/>
        </w:numPr>
        <w:kinsoku/>
        <w:wordWrap/>
        <w:overflowPunct/>
        <w:topLinePunct w:val="0"/>
        <w:autoSpaceDE/>
        <w:autoSpaceDN/>
        <w:bidi w:val="0"/>
        <w:snapToGrid/>
        <w:spacing w:beforeAutospacing="0" w:afterAutospacing="0" w:line="560" w:lineRule="exact"/>
        <w:ind w:right="0" w:firstLine="643" w:firstLineChars="200"/>
        <w:jc w:val="both"/>
        <w:textAlignment w:val="auto"/>
        <w:rPr>
          <w:rStyle w:val="12"/>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shd w:val="clear" w:color="auto" w:fill="FFFFFF"/>
        </w:rPr>
        <w:t>总体绩效目标完成情况分析</w:t>
      </w:r>
    </w:p>
    <w:p w14:paraId="30B4087B">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1.免费向城乡居民提供基本公共卫生服务。202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年，我</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基本公共卫生服务项目工作，按照国家卫健委、国家中医药管理局、财政部《关于做好202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年国家基本公共卫生服务项目工作的通知》</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文件精神，加强组织领导，密切配合，创新工作方式，规范资金管理，工作取得较好成效。</w:t>
      </w:r>
    </w:p>
    <w:p w14:paraId="49B80EEC">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实施基本公共卫生服务项目，基本公共卫生服务能力得到提升，基本公共卫生服务项目得到较好落实，老百姓获得感不断增强，群众满意度不断提高。人民群众健康意识进一步得到增强，使人人享受到基本公共卫生服务带来的健康实惠。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年项目的开展，资金支出的管理、使用、产出效益评价均符合标准。</w:t>
      </w:r>
    </w:p>
    <w:p w14:paraId="3B3F00B4">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2.将基本公卫服务宣传与日常居民健康管理工作结合起来。主动提供基本公卫项目相关咨询服务，普及基本公卫知识，提高基本公卫社会效益及居民政策知晓度和居民满意度，群众综合知晓率达</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%以上，服务对象知晓率达</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%和满意度达</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%以上。</w:t>
      </w:r>
    </w:p>
    <w:p w14:paraId="129896B9">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rPr>
        <w:t>）绩效指标完成情况分析。</w:t>
      </w:r>
    </w:p>
    <w:p w14:paraId="5C262627">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1.居民健康档案。202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我院</w:t>
      </w:r>
      <w:r>
        <w:rPr>
          <w:rFonts w:hint="eastAsia" w:ascii="仿宋_GB2312" w:hAnsi="仿宋_GB2312" w:eastAsia="仿宋_GB2312" w:cs="仿宋_GB2312"/>
          <w:color w:val="auto"/>
          <w:sz w:val="32"/>
          <w:szCs w:val="32"/>
        </w:rPr>
        <w:t>已建立居民规范化电子健康档案</w:t>
      </w:r>
      <w:r>
        <w:rPr>
          <w:rFonts w:hint="eastAsia" w:ascii="仿宋_GB2312" w:hAnsi="仿宋_GB2312" w:eastAsia="仿宋_GB2312" w:cs="仿宋_GB2312"/>
          <w:color w:val="auto"/>
          <w:sz w:val="32"/>
          <w:szCs w:val="32"/>
          <w:lang w:val="en-US" w:eastAsia="zh-CN"/>
        </w:rPr>
        <w:t>4491</w:t>
      </w:r>
      <w:r>
        <w:rPr>
          <w:rFonts w:hint="eastAsia" w:ascii="仿宋_GB2312" w:hAnsi="仿宋_GB2312" w:eastAsia="仿宋_GB2312" w:cs="仿宋_GB2312"/>
          <w:color w:val="auto"/>
          <w:sz w:val="32"/>
          <w:szCs w:val="32"/>
        </w:rPr>
        <w:t>份，建档率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%，规范建档率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%，使用率</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color w:val="auto"/>
          <w:sz w:val="32"/>
          <w:szCs w:val="32"/>
        </w:rPr>
        <w:t>%。</w:t>
      </w:r>
    </w:p>
    <w:p w14:paraId="4CAC0D7C">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2.健康教育工作。发放健康教育宣传资料</w:t>
      </w:r>
      <w:r>
        <w:rPr>
          <w:rFonts w:hint="eastAsia" w:ascii="仿宋_GB2312" w:hAnsi="仿宋_GB2312" w:eastAsia="仿宋_GB2312" w:cs="仿宋_GB2312"/>
          <w:color w:val="auto"/>
          <w:sz w:val="32"/>
          <w:szCs w:val="32"/>
          <w:lang w:val="en-US" w:eastAsia="zh-CN"/>
        </w:rPr>
        <w:t>15600</w:t>
      </w:r>
      <w:r>
        <w:rPr>
          <w:rFonts w:hint="eastAsia" w:ascii="仿宋_GB2312" w:hAnsi="仿宋_GB2312" w:eastAsia="仿宋_GB2312" w:cs="仿宋_GB2312"/>
          <w:color w:val="auto"/>
          <w:sz w:val="32"/>
          <w:szCs w:val="32"/>
        </w:rPr>
        <w:t>本，利用各种卫生日组织面向公众开展各类健康教育讲座及咨询活动</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次，参与</w:t>
      </w:r>
      <w:r>
        <w:rPr>
          <w:rFonts w:hint="eastAsia" w:ascii="仿宋_GB2312" w:hAnsi="仿宋_GB2312" w:eastAsia="仿宋_GB2312" w:cs="仿宋_GB2312"/>
          <w:color w:val="auto"/>
          <w:sz w:val="32"/>
          <w:szCs w:val="32"/>
          <w:lang w:val="en-US" w:eastAsia="zh-CN"/>
        </w:rPr>
        <w:t>600</w:t>
      </w:r>
      <w:r>
        <w:rPr>
          <w:rFonts w:hint="eastAsia" w:ascii="仿宋_GB2312" w:hAnsi="仿宋_GB2312" w:eastAsia="仿宋_GB2312" w:cs="仿宋_GB2312"/>
          <w:color w:val="auto"/>
          <w:sz w:val="32"/>
          <w:szCs w:val="32"/>
        </w:rPr>
        <w:t>人。</w:t>
      </w:r>
    </w:p>
    <w:p w14:paraId="6F5C9E57">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3.预防接种工作。0-6岁适龄儿童建卡数63人，国家免疫规划疫苗接种总剂次99针次，国家免疫规划疫苗分剂次接种率达90%以上。</w:t>
      </w:r>
    </w:p>
    <w:p w14:paraId="12A18C6D">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4.传染病报告和处理工作。全年无甲类传染病发生，法定报告传染病网络报告及时率100%、突发公共卫生事件信息报告和调查处置率100%。</w:t>
      </w:r>
    </w:p>
    <w:p w14:paraId="18A880D0">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5.儿童健康管理工作。</w:t>
      </w:r>
      <w:r>
        <w:rPr>
          <w:rFonts w:hint="eastAsia" w:ascii="仿宋_GB2312" w:hAnsi="仿宋_GB2312" w:eastAsia="仿宋_GB2312" w:cs="仿宋_GB2312"/>
          <w:color w:val="auto"/>
          <w:sz w:val="32"/>
          <w:szCs w:val="32"/>
          <w:lang w:val="en-US" w:eastAsia="zh-CN"/>
        </w:rPr>
        <w:t>我院</w:t>
      </w:r>
      <w:r>
        <w:rPr>
          <w:rFonts w:hint="eastAsia" w:ascii="仿宋_GB2312" w:hAnsi="仿宋_GB2312" w:eastAsia="仿宋_GB2312" w:cs="仿宋_GB2312"/>
          <w:color w:val="auto"/>
          <w:sz w:val="32"/>
          <w:szCs w:val="32"/>
        </w:rPr>
        <w:t>0-6岁儿童健康管理人数</w:t>
      </w:r>
      <w:r>
        <w:rPr>
          <w:rFonts w:hint="eastAsia" w:ascii="仿宋_GB2312" w:hAnsi="仿宋_GB2312" w:eastAsia="仿宋_GB2312" w:cs="仿宋_GB2312"/>
          <w:color w:val="auto"/>
          <w:sz w:val="32"/>
          <w:szCs w:val="32"/>
          <w:lang w:val="en-US" w:eastAsia="zh-CN"/>
        </w:rPr>
        <w:t>88</w:t>
      </w:r>
      <w:r>
        <w:rPr>
          <w:rFonts w:hint="eastAsia" w:ascii="仿宋_GB2312" w:hAnsi="仿宋_GB2312" w:eastAsia="仿宋_GB2312" w:cs="仿宋_GB2312"/>
          <w:color w:val="auto"/>
          <w:sz w:val="32"/>
          <w:szCs w:val="32"/>
        </w:rPr>
        <w:t>人，健康管理率达</w:t>
      </w:r>
      <w:r>
        <w:rPr>
          <w:rFonts w:hint="eastAsia" w:ascii="仿宋_GB2312" w:hAnsi="仿宋_GB2312" w:eastAsia="仿宋_GB2312" w:cs="仿宋_GB2312"/>
          <w:color w:val="auto"/>
          <w:sz w:val="32"/>
          <w:szCs w:val="32"/>
          <w:lang w:val="en-US" w:eastAsia="zh-CN"/>
        </w:rPr>
        <w:t>96.6</w:t>
      </w:r>
      <w:r>
        <w:rPr>
          <w:rFonts w:hint="eastAsia" w:ascii="仿宋_GB2312" w:hAnsi="仿宋_GB2312" w:eastAsia="仿宋_GB2312" w:cs="仿宋_GB2312"/>
          <w:color w:val="auto"/>
          <w:sz w:val="32"/>
          <w:szCs w:val="32"/>
        </w:rPr>
        <w:t>%，新生儿访视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人，访视率达</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%。0-6岁儿童眼保健和视力检查覆盖率</w:t>
      </w:r>
      <w:r>
        <w:rPr>
          <w:rFonts w:hint="eastAsia" w:ascii="仿宋_GB2312" w:hAnsi="仿宋_GB2312" w:eastAsia="仿宋_GB2312" w:cs="仿宋_GB2312"/>
          <w:color w:val="auto"/>
          <w:sz w:val="32"/>
          <w:szCs w:val="32"/>
          <w:lang w:val="en-US" w:eastAsia="zh-CN"/>
        </w:rPr>
        <w:t>96.6</w:t>
      </w:r>
      <w:r>
        <w:rPr>
          <w:rFonts w:hint="eastAsia" w:ascii="仿宋_GB2312" w:hAnsi="仿宋_GB2312" w:eastAsia="仿宋_GB2312" w:cs="仿宋_GB2312"/>
          <w:color w:val="auto"/>
          <w:sz w:val="32"/>
          <w:szCs w:val="32"/>
        </w:rPr>
        <w:t>%。</w:t>
      </w:r>
    </w:p>
    <w:p w14:paraId="0E3C1620">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.老年人健康管理工作。老年人健康管理</w:t>
      </w:r>
      <w:r>
        <w:rPr>
          <w:rFonts w:hint="eastAsia" w:ascii="仿宋_GB2312" w:hAnsi="仿宋_GB2312" w:eastAsia="仿宋_GB2312" w:cs="仿宋_GB2312"/>
          <w:color w:val="auto"/>
          <w:sz w:val="32"/>
          <w:szCs w:val="32"/>
          <w:lang w:val="en-US" w:eastAsia="zh-CN"/>
        </w:rPr>
        <w:t>768</w:t>
      </w:r>
      <w:r>
        <w:rPr>
          <w:rFonts w:hint="eastAsia" w:ascii="仿宋_GB2312" w:hAnsi="仿宋_GB2312" w:eastAsia="仿宋_GB2312" w:cs="仿宋_GB2312"/>
          <w:color w:val="auto"/>
          <w:sz w:val="32"/>
          <w:szCs w:val="32"/>
        </w:rPr>
        <w:t>人，健康管理率</w:t>
      </w:r>
      <w:r>
        <w:rPr>
          <w:rFonts w:hint="eastAsia" w:ascii="仿宋_GB2312" w:hAnsi="仿宋_GB2312" w:eastAsia="仿宋_GB2312" w:cs="仿宋_GB2312"/>
          <w:color w:val="auto"/>
          <w:sz w:val="32"/>
          <w:szCs w:val="32"/>
          <w:lang w:val="en-US" w:eastAsia="zh-CN"/>
        </w:rPr>
        <w:t>99.7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体检率91.7%</w:t>
      </w:r>
      <w:r>
        <w:rPr>
          <w:rFonts w:hint="eastAsia" w:ascii="仿宋_GB2312" w:hAnsi="仿宋_GB2312" w:eastAsia="仿宋_GB2312" w:cs="仿宋_GB2312"/>
          <w:color w:val="auto"/>
          <w:sz w:val="32"/>
          <w:szCs w:val="32"/>
        </w:rPr>
        <w:t>。</w:t>
      </w:r>
    </w:p>
    <w:p w14:paraId="49AADDED">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.慢性病患者管理工作。年内辖区内已管理的高血压患者</w:t>
      </w:r>
      <w:r>
        <w:rPr>
          <w:rFonts w:hint="eastAsia" w:ascii="仿宋_GB2312" w:hAnsi="仿宋_GB2312" w:eastAsia="仿宋_GB2312" w:cs="仿宋_GB2312"/>
          <w:color w:val="auto"/>
          <w:sz w:val="32"/>
          <w:szCs w:val="32"/>
          <w:lang w:val="en-US" w:eastAsia="zh-CN"/>
        </w:rPr>
        <w:t>817</w:t>
      </w:r>
      <w:r>
        <w:rPr>
          <w:rFonts w:hint="eastAsia" w:ascii="仿宋_GB2312" w:hAnsi="仿宋_GB2312" w:eastAsia="仿宋_GB2312" w:cs="仿宋_GB2312"/>
          <w:color w:val="auto"/>
          <w:sz w:val="32"/>
          <w:szCs w:val="32"/>
        </w:rPr>
        <w:t>人，规范管理服务率</w:t>
      </w:r>
      <w:r>
        <w:rPr>
          <w:rFonts w:hint="eastAsia" w:ascii="仿宋_GB2312" w:hAnsi="仿宋_GB2312" w:eastAsia="仿宋_GB2312" w:cs="仿宋_GB2312"/>
          <w:color w:val="auto"/>
          <w:sz w:val="32"/>
          <w:szCs w:val="32"/>
          <w:lang w:val="en-US" w:eastAsia="zh-CN"/>
        </w:rPr>
        <w:t>91.6</w:t>
      </w:r>
      <w:r>
        <w:rPr>
          <w:rFonts w:hint="eastAsia" w:ascii="仿宋_GB2312" w:hAnsi="仿宋_GB2312" w:eastAsia="仿宋_GB2312" w:cs="仿宋_GB2312"/>
          <w:color w:val="auto"/>
          <w:sz w:val="32"/>
          <w:szCs w:val="32"/>
        </w:rPr>
        <w:t>%；年内辖区内已管理的糖尿病患者</w:t>
      </w:r>
      <w:r>
        <w:rPr>
          <w:rFonts w:hint="eastAsia" w:ascii="仿宋_GB2312" w:hAnsi="仿宋_GB2312" w:eastAsia="仿宋_GB2312" w:cs="仿宋_GB2312"/>
          <w:color w:val="auto"/>
          <w:sz w:val="32"/>
          <w:szCs w:val="32"/>
          <w:lang w:val="en-US" w:eastAsia="zh-CN"/>
        </w:rPr>
        <w:t>130</w:t>
      </w:r>
      <w:r>
        <w:rPr>
          <w:rFonts w:hint="eastAsia" w:ascii="仿宋_GB2312" w:hAnsi="仿宋_GB2312" w:eastAsia="仿宋_GB2312" w:cs="仿宋_GB2312"/>
          <w:color w:val="auto"/>
          <w:sz w:val="32"/>
          <w:szCs w:val="32"/>
        </w:rPr>
        <w:t>人，规范管理服务率</w:t>
      </w:r>
      <w:r>
        <w:rPr>
          <w:rFonts w:hint="eastAsia" w:ascii="仿宋_GB2312" w:hAnsi="仿宋_GB2312" w:eastAsia="仿宋_GB2312" w:cs="仿宋_GB2312"/>
          <w:color w:val="auto"/>
          <w:sz w:val="32"/>
          <w:szCs w:val="32"/>
          <w:lang w:val="en-US" w:eastAsia="zh-CN"/>
        </w:rPr>
        <w:t>38.87</w:t>
      </w:r>
      <w:r>
        <w:rPr>
          <w:rFonts w:hint="eastAsia" w:ascii="仿宋_GB2312" w:hAnsi="仿宋_GB2312" w:eastAsia="仿宋_GB2312" w:cs="仿宋_GB2312"/>
          <w:color w:val="auto"/>
          <w:sz w:val="32"/>
          <w:szCs w:val="32"/>
        </w:rPr>
        <w:t>%。</w:t>
      </w:r>
    </w:p>
    <w:p w14:paraId="2D7E7BEA">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.重性精神病患者管理工作。严重精神障碍患者登记管理</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人，在册患者管理率</w:t>
      </w:r>
      <w:r>
        <w:rPr>
          <w:rFonts w:hint="eastAsia" w:ascii="仿宋_GB2312" w:hAnsi="仿宋_GB2312" w:eastAsia="仿宋_GB2312" w:cs="仿宋_GB2312"/>
          <w:color w:val="auto"/>
          <w:sz w:val="32"/>
          <w:szCs w:val="32"/>
          <w:lang w:val="en-US" w:eastAsia="zh-CN"/>
        </w:rPr>
        <w:t>96.29</w:t>
      </w:r>
      <w:r>
        <w:rPr>
          <w:rFonts w:hint="eastAsia" w:ascii="仿宋_GB2312" w:hAnsi="仿宋_GB2312" w:eastAsia="仿宋_GB2312" w:cs="仿宋_GB2312"/>
          <w:color w:val="auto"/>
          <w:sz w:val="32"/>
          <w:szCs w:val="32"/>
        </w:rPr>
        <w:t>%，规范管理率</w:t>
      </w:r>
      <w:r>
        <w:rPr>
          <w:rFonts w:hint="eastAsia" w:ascii="仿宋_GB2312" w:hAnsi="仿宋_GB2312" w:eastAsia="仿宋_GB2312" w:cs="仿宋_GB2312"/>
          <w:color w:val="auto"/>
          <w:sz w:val="32"/>
          <w:szCs w:val="32"/>
          <w:lang w:val="en-US" w:eastAsia="zh-CN"/>
        </w:rPr>
        <w:t>96.3</w:t>
      </w:r>
      <w:r>
        <w:rPr>
          <w:rFonts w:hint="eastAsia" w:ascii="仿宋_GB2312" w:hAnsi="仿宋_GB2312" w:eastAsia="仿宋_GB2312" w:cs="仿宋_GB2312"/>
          <w:color w:val="auto"/>
          <w:sz w:val="32"/>
          <w:szCs w:val="32"/>
        </w:rPr>
        <w:t>%，面访率</w:t>
      </w:r>
      <w:r>
        <w:rPr>
          <w:rFonts w:hint="eastAsia" w:ascii="仿宋_GB2312" w:hAnsi="仿宋_GB2312" w:eastAsia="仿宋_GB2312" w:cs="仿宋_GB2312"/>
          <w:color w:val="auto"/>
          <w:sz w:val="32"/>
          <w:szCs w:val="32"/>
          <w:lang w:val="en-US" w:eastAsia="zh-CN"/>
        </w:rPr>
        <w:t>96.29</w:t>
      </w:r>
      <w:r>
        <w:rPr>
          <w:rFonts w:hint="eastAsia" w:ascii="仿宋_GB2312" w:hAnsi="仿宋_GB2312" w:eastAsia="仿宋_GB2312" w:cs="仿宋_GB2312"/>
          <w:color w:val="auto"/>
          <w:sz w:val="32"/>
          <w:szCs w:val="32"/>
        </w:rPr>
        <w:t>%，服药率</w:t>
      </w:r>
      <w:r>
        <w:rPr>
          <w:rFonts w:hint="eastAsia" w:ascii="仿宋_GB2312" w:hAnsi="仿宋_GB2312" w:eastAsia="仿宋_GB2312" w:cs="仿宋_GB2312"/>
          <w:color w:val="auto"/>
          <w:sz w:val="32"/>
          <w:szCs w:val="32"/>
          <w:lang w:val="en-US" w:eastAsia="zh-CN"/>
        </w:rPr>
        <w:t>92.59</w:t>
      </w:r>
      <w:r>
        <w:rPr>
          <w:rFonts w:hint="eastAsia" w:ascii="仿宋_GB2312" w:hAnsi="仿宋_GB2312" w:eastAsia="仿宋_GB2312" w:cs="仿宋_GB2312"/>
          <w:color w:val="auto"/>
          <w:sz w:val="32"/>
          <w:szCs w:val="32"/>
        </w:rPr>
        <w:t>%，规律服药率</w:t>
      </w:r>
      <w:r>
        <w:rPr>
          <w:rFonts w:hint="eastAsia" w:ascii="仿宋_GB2312" w:hAnsi="仿宋_GB2312" w:eastAsia="仿宋_GB2312" w:cs="仿宋_GB2312"/>
          <w:color w:val="auto"/>
          <w:sz w:val="32"/>
          <w:szCs w:val="32"/>
          <w:lang w:val="en-US" w:eastAsia="zh-CN"/>
        </w:rPr>
        <w:t>88.89</w:t>
      </w:r>
      <w:r>
        <w:rPr>
          <w:rFonts w:hint="eastAsia" w:ascii="仿宋_GB2312" w:hAnsi="仿宋_GB2312" w:eastAsia="仿宋_GB2312" w:cs="仿宋_GB2312"/>
          <w:color w:val="auto"/>
          <w:sz w:val="32"/>
          <w:szCs w:val="32"/>
        </w:rPr>
        <w:t>%，健康体检率</w:t>
      </w:r>
      <w:r>
        <w:rPr>
          <w:rFonts w:hint="eastAsia" w:ascii="仿宋_GB2312" w:hAnsi="仿宋_GB2312" w:eastAsia="仿宋_GB2312" w:cs="仿宋_GB2312"/>
          <w:color w:val="auto"/>
          <w:sz w:val="32"/>
          <w:szCs w:val="32"/>
          <w:lang w:val="en-US" w:eastAsia="zh-CN"/>
        </w:rPr>
        <w:t>85.19</w:t>
      </w:r>
      <w:r>
        <w:rPr>
          <w:rFonts w:hint="eastAsia" w:ascii="仿宋_GB2312" w:hAnsi="仿宋_GB2312" w:eastAsia="仿宋_GB2312" w:cs="仿宋_GB2312"/>
          <w:color w:val="auto"/>
          <w:sz w:val="32"/>
          <w:szCs w:val="32"/>
        </w:rPr>
        <w:t>%。</w:t>
      </w:r>
    </w:p>
    <w:p w14:paraId="792FAB65">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.卫生监督协管。明确专职或兼职人员负责卫生监督协管工作，协助开展食源性疾病、饮用水卫生安全、学校卫生、非法行医和非法采供血、计划生育实地巡查84次。</w:t>
      </w:r>
    </w:p>
    <w:p w14:paraId="2761B061">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.中医药健康管理服务。共为</w:t>
      </w:r>
      <w:r>
        <w:rPr>
          <w:rFonts w:hint="eastAsia" w:ascii="仿宋_GB2312" w:hAnsi="仿宋_GB2312" w:eastAsia="仿宋_GB2312" w:cs="仿宋_GB2312"/>
          <w:color w:val="auto"/>
          <w:sz w:val="32"/>
          <w:szCs w:val="32"/>
          <w:lang w:val="en-US" w:eastAsia="zh-CN"/>
        </w:rPr>
        <w:t>768</w:t>
      </w:r>
      <w:r>
        <w:rPr>
          <w:rFonts w:hint="eastAsia" w:ascii="仿宋_GB2312" w:hAnsi="仿宋_GB2312" w:eastAsia="仿宋_GB2312" w:cs="仿宋_GB2312"/>
          <w:color w:val="auto"/>
          <w:sz w:val="32"/>
          <w:szCs w:val="32"/>
        </w:rPr>
        <w:t>名65岁以上老年人提供了中医体质辨识服务，覆盖率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%；为</w:t>
      </w:r>
      <w:r>
        <w:rPr>
          <w:rFonts w:hint="eastAsia" w:ascii="仿宋_GB2312" w:hAnsi="仿宋_GB2312" w:eastAsia="仿宋_GB2312" w:cs="仿宋_GB2312"/>
          <w:color w:val="auto"/>
          <w:sz w:val="32"/>
          <w:szCs w:val="32"/>
          <w:lang w:val="en-US" w:eastAsia="zh-CN"/>
        </w:rPr>
        <w:t>85</w:t>
      </w:r>
      <w:r>
        <w:rPr>
          <w:rFonts w:hint="eastAsia" w:ascii="仿宋_GB2312" w:hAnsi="仿宋_GB2312" w:eastAsia="仿宋_GB2312" w:cs="仿宋_GB2312"/>
          <w:color w:val="auto"/>
          <w:sz w:val="32"/>
          <w:szCs w:val="32"/>
        </w:rPr>
        <w:t>名0-36个月儿童提供了中医调养服务，覆盖率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7DB8A42B">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.肺结核患者管理工作。已管理的肺结核患者</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例。</w:t>
      </w:r>
    </w:p>
    <w:p w14:paraId="1A252C9E">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.家庭医生签约服务。202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年，辖区内共有家庭医生签约团队</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个，共签约65岁及以上老年人</w:t>
      </w:r>
      <w:r>
        <w:rPr>
          <w:rFonts w:hint="eastAsia" w:ascii="仿宋_GB2312" w:hAnsi="仿宋_GB2312" w:eastAsia="仿宋_GB2312" w:cs="仿宋_GB2312"/>
          <w:color w:val="auto"/>
          <w:sz w:val="32"/>
          <w:szCs w:val="32"/>
          <w:lang w:val="en-US" w:eastAsia="zh-CN"/>
        </w:rPr>
        <w:t>397</w:t>
      </w:r>
      <w:r>
        <w:rPr>
          <w:rFonts w:hint="eastAsia" w:ascii="仿宋_GB2312" w:hAnsi="仿宋_GB2312" w:eastAsia="仿宋_GB2312" w:cs="仿宋_GB2312"/>
          <w:color w:val="auto"/>
          <w:sz w:val="32"/>
          <w:szCs w:val="32"/>
        </w:rPr>
        <w:t>人、慢性四病</w:t>
      </w:r>
      <w:r>
        <w:rPr>
          <w:rFonts w:hint="eastAsia" w:ascii="仿宋_GB2312" w:hAnsi="仿宋_GB2312" w:eastAsia="仿宋_GB2312" w:cs="仿宋_GB2312"/>
          <w:color w:val="auto"/>
          <w:sz w:val="32"/>
          <w:szCs w:val="32"/>
          <w:lang w:val="en-US" w:eastAsia="zh-CN"/>
        </w:rPr>
        <w:t>418</w:t>
      </w:r>
      <w:r>
        <w:rPr>
          <w:rFonts w:hint="eastAsia" w:ascii="仿宋_GB2312" w:hAnsi="仿宋_GB2312" w:eastAsia="仿宋_GB2312" w:cs="仿宋_GB2312"/>
          <w:color w:val="auto"/>
          <w:sz w:val="32"/>
          <w:szCs w:val="32"/>
        </w:rPr>
        <w:t>人、孕产妇</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人、0-6岁儿童</w:t>
      </w:r>
      <w:r>
        <w:rPr>
          <w:rFonts w:hint="eastAsia" w:ascii="仿宋_GB2312" w:hAnsi="仿宋_GB2312" w:eastAsia="仿宋_GB2312" w:cs="仿宋_GB2312"/>
          <w:color w:val="auto"/>
          <w:sz w:val="32"/>
          <w:szCs w:val="32"/>
          <w:lang w:val="en-US" w:eastAsia="zh-CN"/>
        </w:rPr>
        <w:t>94</w:t>
      </w:r>
      <w:r>
        <w:rPr>
          <w:rFonts w:hint="eastAsia" w:ascii="仿宋_GB2312" w:hAnsi="仿宋_GB2312" w:eastAsia="仿宋_GB2312" w:cs="仿宋_GB2312"/>
          <w:color w:val="auto"/>
          <w:sz w:val="32"/>
          <w:szCs w:val="32"/>
        </w:rPr>
        <w:t>人、计划生育特殊家庭</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人、残疾人</w:t>
      </w:r>
      <w:r>
        <w:rPr>
          <w:rFonts w:hint="eastAsia" w:ascii="仿宋_GB2312" w:hAnsi="仿宋_GB2312" w:eastAsia="仿宋_GB2312" w:cs="仿宋_GB2312"/>
          <w:color w:val="auto"/>
          <w:sz w:val="32"/>
          <w:szCs w:val="32"/>
          <w:lang w:val="en-US" w:eastAsia="zh-CN"/>
        </w:rPr>
        <w:t>154</w:t>
      </w:r>
      <w:r>
        <w:rPr>
          <w:rFonts w:hint="eastAsia" w:ascii="仿宋_GB2312" w:hAnsi="仿宋_GB2312" w:eastAsia="仿宋_GB2312" w:cs="仿宋_GB2312"/>
          <w:color w:val="auto"/>
          <w:sz w:val="32"/>
          <w:szCs w:val="32"/>
        </w:rPr>
        <w:t>人，脱贫户</w:t>
      </w:r>
      <w:r>
        <w:rPr>
          <w:rFonts w:hint="eastAsia" w:ascii="仿宋_GB2312" w:hAnsi="仿宋_GB2312" w:eastAsia="仿宋_GB2312" w:cs="仿宋_GB2312"/>
          <w:color w:val="auto"/>
          <w:sz w:val="32"/>
          <w:szCs w:val="32"/>
          <w:lang w:val="en-US" w:eastAsia="zh-CN"/>
        </w:rPr>
        <w:t>1953</w:t>
      </w:r>
      <w:r>
        <w:rPr>
          <w:rFonts w:hint="eastAsia" w:ascii="仿宋_GB2312" w:hAnsi="仿宋_GB2312" w:eastAsia="仿宋_GB2312" w:cs="仿宋_GB2312"/>
          <w:color w:val="auto"/>
          <w:sz w:val="32"/>
          <w:szCs w:val="32"/>
        </w:rPr>
        <w:t>人、三类人群</w:t>
      </w:r>
      <w:r>
        <w:rPr>
          <w:rFonts w:hint="eastAsia" w:ascii="仿宋_GB2312" w:hAnsi="仿宋_GB2312" w:eastAsia="仿宋_GB2312" w:cs="仿宋_GB2312"/>
          <w:color w:val="auto"/>
          <w:sz w:val="32"/>
          <w:szCs w:val="32"/>
          <w:lang w:val="en-US" w:eastAsia="zh-CN"/>
        </w:rPr>
        <w:t>228</w:t>
      </w:r>
      <w:r>
        <w:rPr>
          <w:rFonts w:hint="eastAsia" w:ascii="仿宋_GB2312" w:hAnsi="仿宋_GB2312" w:eastAsia="仿宋_GB2312" w:cs="仿宋_GB2312"/>
          <w:color w:val="auto"/>
          <w:sz w:val="32"/>
          <w:szCs w:val="32"/>
        </w:rPr>
        <w:t>人，其中签约初级包</w:t>
      </w:r>
      <w:r>
        <w:rPr>
          <w:rFonts w:hint="eastAsia" w:ascii="仿宋_GB2312" w:hAnsi="仿宋_GB2312" w:eastAsia="仿宋_GB2312" w:cs="仿宋_GB2312"/>
          <w:color w:val="auto"/>
          <w:sz w:val="32"/>
          <w:szCs w:val="32"/>
          <w:lang w:val="en-US" w:eastAsia="zh-CN"/>
        </w:rPr>
        <w:t>1225</w:t>
      </w:r>
      <w:r>
        <w:rPr>
          <w:rFonts w:hint="eastAsia" w:ascii="仿宋_GB2312" w:hAnsi="仿宋_GB2312" w:eastAsia="仿宋_GB2312" w:cs="仿宋_GB2312"/>
          <w:color w:val="auto"/>
          <w:sz w:val="32"/>
          <w:szCs w:val="32"/>
        </w:rPr>
        <w:t>人，中级包859人，并进行每季度1次随访，一般人群落实了基础包服务。</w:t>
      </w:r>
    </w:p>
    <w:p w14:paraId="3C10BCAA">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.免费孕前优生检查工作。完成免费孕前优生健康检查项目任务数</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对。</w:t>
      </w:r>
    </w:p>
    <w:p w14:paraId="7BC06911">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14.地方病防治工作。2023年地方病防治工作完成率100%。</w:t>
      </w:r>
    </w:p>
    <w:p w14:paraId="0577D088">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3" w:firstLineChars="200"/>
        <w:jc w:val="both"/>
        <w:textAlignment w:val="auto"/>
        <w:rPr>
          <w:rFonts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（四）绩效评价结论</w:t>
      </w:r>
    </w:p>
    <w:p w14:paraId="6DA1EF9B">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0" w:firstLineChars="200"/>
        <w:jc w:val="both"/>
        <w:textAlignment w:val="auto"/>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202</w:t>
      </w:r>
      <w:r>
        <w:rPr>
          <w:rFonts w:hint="eastAsia" w:ascii="仿宋_GB2312" w:hAnsi="仿宋_GB2312" w:eastAsia="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年，我</w:t>
      </w:r>
      <w:r>
        <w:rPr>
          <w:rFonts w:hint="eastAsia" w:ascii="仿宋_GB2312" w:hAnsi="仿宋_GB2312" w:eastAsia="仿宋_GB2312" w:cs="仿宋_GB2312"/>
          <w:color w:val="333333"/>
          <w:sz w:val="32"/>
          <w:szCs w:val="32"/>
          <w:shd w:val="clear" w:color="auto" w:fill="FFFFFF"/>
          <w:lang w:val="en-US" w:eastAsia="zh-CN"/>
        </w:rPr>
        <w:t>院</w:t>
      </w:r>
      <w:r>
        <w:rPr>
          <w:rFonts w:hint="eastAsia" w:ascii="仿宋_GB2312" w:hAnsi="仿宋_GB2312" w:eastAsia="仿宋_GB2312" w:cs="仿宋_GB2312"/>
          <w:color w:val="333333"/>
          <w:sz w:val="32"/>
          <w:szCs w:val="32"/>
          <w:shd w:val="clear" w:color="auto" w:fill="FFFFFF"/>
        </w:rPr>
        <w:t>根据年初工作规划和重点工作任务，积极履职，强化管理，较好的完成了年度工作目标。通过加强预算收支管理，不断建立健全内部管理制度，梳理内部管理流程，部门整体支出管理情况得到提升。</w:t>
      </w:r>
    </w:p>
    <w:p w14:paraId="45472B6F">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四、自评结论</w:t>
      </w:r>
    </w:p>
    <w:p w14:paraId="3CFB2B9F">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通过绩效自评，一是增强了绩效评价主体责任意识；促进规范使用项目资金；将评价结果作为改进预算管理和财务管理以及以后年度预算安排的重要依据，对自评中发现的问题进行及时整改，加强预算管理和财务管理，完善管理制度，提高管理水平，增加财政资金使用的经济效益和社会效益。</w:t>
      </w:r>
    </w:p>
    <w:p w14:paraId="4C6FB9BE">
      <w:pPr>
        <w:pStyle w:val="2"/>
        <w:rPr>
          <w:rFonts w:hint="eastAsia" w:ascii="仿宋_GB2312" w:hAnsi="仿宋_GB2312" w:eastAsia="仿宋_GB2312" w:cs="仿宋_GB2312"/>
          <w:color w:val="333333"/>
          <w:kern w:val="0"/>
          <w:sz w:val="32"/>
          <w:szCs w:val="32"/>
          <w:shd w:val="clear" w:color="auto" w:fill="FFFFFF"/>
          <w:lang w:val="en-US" w:eastAsia="zh-CN" w:bidi="ar-SA"/>
        </w:rPr>
      </w:pPr>
    </w:p>
    <w:p w14:paraId="2C14CD68">
      <w:pPr>
        <w:pStyle w:val="3"/>
        <w:rPr>
          <w:rFonts w:hint="eastAsia" w:ascii="仿宋_GB2312" w:hAnsi="仿宋_GB2312" w:eastAsia="仿宋_GB2312" w:cs="仿宋_GB2312"/>
          <w:color w:val="333333"/>
          <w:kern w:val="0"/>
          <w:sz w:val="32"/>
          <w:szCs w:val="32"/>
          <w:shd w:val="clear" w:color="auto" w:fill="FFFFFF"/>
          <w:lang w:val="en-US" w:eastAsia="zh-CN" w:bidi="ar-SA"/>
        </w:rPr>
      </w:pPr>
    </w:p>
    <w:p w14:paraId="4B5F564C">
      <w:pPr>
        <w:pStyle w:val="4"/>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 xml:space="preserve">                            山丹县老军乡卫生院</w:t>
      </w:r>
    </w:p>
    <w:p w14:paraId="3C2D0CA4">
      <w:pPr>
        <w:rPr>
          <w:rFonts w:hint="default"/>
          <w:lang w:val="en-US" w:eastAsia="zh-CN"/>
        </w:rPr>
      </w:pPr>
      <w:r>
        <w:rPr>
          <w:rFonts w:hint="eastAsia" w:ascii="仿宋_GB2312" w:hAnsi="仿宋_GB2312" w:eastAsia="仿宋_GB2312" w:cs="仿宋_GB2312"/>
          <w:color w:val="333333"/>
          <w:kern w:val="0"/>
          <w:sz w:val="32"/>
          <w:szCs w:val="32"/>
          <w:shd w:val="clear" w:color="auto" w:fill="FFFFFF"/>
          <w:lang w:val="en-US" w:eastAsia="zh-CN" w:bidi="ar-SA"/>
        </w:rPr>
        <w:t xml:space="preserve">                                 2023年12月20日</w:t>
      </w:r>
    </w:p>
    <w:p w14:paraId="66E7B366">
      <w:pPr>
        <w:pStyle w:val="2"/>
        <w:rPr>
          <w:rFonts w:hint="eastAsia" w:ascii="仿宋_GB2312" w:hAnsi="仿宋_GB2312" w:eastAsia="仿宋_GB2312" w:cs="仿宋_GB2312"/>
          <w:color w:val="333333"/>
          <w:kern w:val="0"/>
          <w:sz w:val="32"/>
          <w:szCs w:val="32"/>
          <w:shd w:val="clear" w:color="auto" w:fill="FFFFFF"/>
          <w:lang w:val="en-US" w:eastAsia="zh-CN" w:bidi="ar-SA"/>
        </w:rPr>
      </w:pPr>
    </w:p>
    <w:p w14:paraId="431DD33E">
      <w:pPr>
        <w:pStyle w:val="3"/>
        <w:rPr>
          <w:rFonts w:hint="default" w:ascii="仿宋_GB2312" w:hAnsi="仿宋_GB2312" w:eastAsia="仿宋_GB2312" w:cs="仿宋_GB2312"/>
          <w:color w:val="333333"/>
          <w:kern w:val="0"/>
          <w:sz w:val="32"/>
          <w:szCs w:val="32"/>
          <w:shd w:val="clear" w:color="auto" w:fill="FFFFFF"/>
          <w:lang w:val="en-US" w:eastAsia="zh-CN" w:bidi="ar-SA"/>
        </w:rPr>
      </w:pPr>
    </w:p>
    <w:sectPr>
      <w:footerReference r:id="rId4" w:type="default"/>
      <w:pgSz w:w="11906" w:h="16838"/>
      <w:pgMar w:top="1984" w:right="1587" w:bottom="1616"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5353A">
    <w:pPr>
      <w:pStyle w:val="5"/>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24CE7AA">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05370">
    <w:pPr>
      <w:pStyle w:val="5"/>
    </w:pPr>
    <w:r>
      <w:rPr>
        <w:sz w:val="18"/>
      </w:rPr>
      <w:pict>
        <v:shape id="_x0000_s2050" o:spid="_x0000_s2050"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035821B">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159EE"/>
    <w:multiLevelType w:val="singleLevel"/>
    <w:tmpl w:val="B59159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U0NWExZWQwNjlkY2Y4MWQ1YzA3OGI5MzFhOGUxM2E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955330"/>
    <w:rsid w:val="02A8425B"/>
    <w:rsid w:val="057228FE"/>
    <w:rsid w:val="05BA4C10"/>
    <w:rsid w:val="0ECA2393"/>
    <w:rsid w:val="0FC347E0"/>
    <w:rsid w:val="102A7BD9"/>
    <w:rsid w:val="108D558D"/>
    <w:rsid w:val="12261921"/>
    <w:rsid w:val="1A4F492A"/>
    <w:rsid w:val="1C9B4714"/>
    <w:rsid w:val="2CC57CA3"/>
    <w:rsid w:val="31615AAE"/>
    <w:rsid w:val="3D184EE5"/>
    <w:rsid w:val="41641317"/>
    <w:rsid w:val="453141A7"/>
    <w:rsid w:val="48A614F7"/>
    <w:rsid w:val="55E551A4"/>
    <w:rsid w:val="725072C1"/>
    <w:rsid w:val="74FB6016"/>
    <w:rsid w:val="77F776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next w:val="3"/>
    <w:autoRedefine/>
    <w:qFormat/>
    <w:uiPriority w:val="0"/>
    <w:pPr>
      <w:spacing w:after="120" w:line="480" w:lineRule="auto"/>
      <w:ind w:left="420" w:leftChars="200"/>
    </w:pPr>
    <w:rPr>
      <w:rFonts w:ascii="Times New Roman" w:hAnsi="Times New Roman" w:eastAsia="仿宋_GB2312" w:cs="Times New Roman"/>
      <w:sz w:val="32"/>
    </w:rPr>
  </w:style>
  <w:style w:type="paragraph" w:styleId="3">
    <w:name w:val="Body Text"/>
    <w:basedOn w:val="1"/>
    <w:next w:val="4"/>
    <w:autoRedefine/>
    <w:qFormat/>
    <w:uiPriority w:val="0"/>
  </w:style>
  <w:style w:type="paragraph" w:styleId="4">
    <w:name w:val="toc 5"/>
    <w:basedOn w:val="1"/>
    <w:next w:val="1"/>
    <w:autoRedefine/>
    <w:qFormat/>
    <w:uiPriority w:val="0"/>
    <w:pPr>
      <w:spacing w:line="600" w:lineRule="exact"/>
      <w:ind w:firstLine="720" w:firstLineChars="200"/>
    </w:pPr>
  </w:style>
  <w:style w:type="paragraph" w:styleId="5">
    <w:name w:val="footer"/>
    <w:basedOn w:val="1"/>
    <w:link w:val="11"/>
    <w:autoRedefine/>
    <w:qFormat/>
    <w:uiPriority w:val="0"/>
    <w:pPr>
      <w:tabs>
        <w:tab w:val="center" w:pos="4153"/>
        <w:tab w:val="right" w:pos="8306"/>
      </w:tabs>
      <w:snapToGrid w:val="0"/>
      <w:jc w:val="left"/>
    </w:pPr>
    <w:rPr>
      <w:sz w:val="18"/>
      <w:szCs w:val="18"/>
    </w:rPr>
  </w:style>
  <w:style w:type="paragraph" w:styleId="6">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99"/>
    <w:pPr>
      <w:spacing w:beforeAutospacing="1" w:afterAutospacing="1"/>
      <w:jc w:val="left"/>
    </w:pPr>
    <w:rPr>
      <w:rFonts w:cs="Times New Roman"/>
      <w:kern w:val="0"/>
      <w:sz w:val="24"/>
    </w:rPr>
  </w:style>
  <w:style w:type="character" w:customStyle="1" w:styleId="10">
    <w:name w:val="页眉 Char"/>
    <w:basedOn w:val="9"/>
    <w:link w:val="6"/>
    <w:autoRedefine/>
    <w:qFormat/>
    <w:uiPriority w:val="0"/>
    <w:rPr>
      <w:rFonts w:ascii="Calibri"/>
      <w:kern w:val="2"/>
      <w:sz w:val="18"/>
      <w:szCs w:val="18"/>
    </w:rPr>
  </w:style>
  <w:style w:type="character" w:customStyle="1" w:styleId="11">
    <w:name w:val="页脚 Char"/>
    <w:basedOn w:val="9"/>
    <w:link w:val="5"/>
    <w:autoRedefine/>
    <w:qFormat/>
    <w:uiPriority w:val="0"/>
    <w:rPr>
      <w:rFonts w:ascii="Calibri"/>
      <w:kern w:val="2"/>
      <w:sz w:val="18"/>
      <w:szCs w:val="18"/>
    </w:rPr>
  </w:style>
  <w:style w:type="character" w:customStyle="1" w:styleId="12">
    <w:name w:val="text-selectable"/>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2421</Words>
  <Characters>2687</Characters>
  <Lines>1</Lines>
  <Paragraphs>1</Paragraphs>
  <TotalTime>2</TotalTime>
  <ScaleCrop>false</ScaleCrop>
  <LinksUpToDate>false</LinksUpToDate>
  <CharactersWithSpaces>2689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四通印务</cp:lastModifiedBy>
  <cp:lastPrinted>2024-08-20T01:31:33Z</cp:lastPrinted>
  <dcterms:modified xsi:type="dcterms:W3CDTF">2024-08-20T01:31:39Z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DC2FAAD9927346D9A6F827C9A214EB4C_12</vt:lpwstr>
  </property>
</Properties>
</file>