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26266">
      <w:pPr>
        <w:rPr>
          <w:rFonts w:ascii="黑体" w:hAnsi="黑体" w:eastAsia="黑体"/>
          <w:sz w:val="32"/>
          <w:szCs w:val="32"/>
        </w:rPr>
      </w:pPr>
      <w:r>
        <w:rPr>
          <w:rFonts w:hint="eastAsia" w:ascii="黑体" w:hAnsi="黑体" w:eastAsia="黑体"/>
          <w:sz w:val="32"/>
          <w:szCs w:val="32"/>
        </w:rPr>
        <w:t>附件6</w:t>
      </w:r>
    </w:p>
    <w:p w14:paraId="5A880683">
      <w:pPr>
        <w:jc w:val="center"/>
        <w:rPr>
          <w:rFonts w:ascii="方正小标宋简体" w:eastAsia="方正小标宋简体"/>
          <w:snapToGrid w:val="0"/>
          <w:kern w:val="21"/>
          <w:sz w:val="40"/>
          <w:szCs w:val="40"/>
        </w:rPr>
      </w:pPr>
      <w:r>
        <w:rPr>
          <w:rFonts w:hint="eastAsia" w:ascii="方正小标宋简体" w:eastAsia="方正小标宋简体"/>
          <w:snapToGrid w:val="0"/>
          <w:kern w:val="21"/>
          <w:sz w:val="40"/>
          <w:szCs w:val="40"/>
        </w:rPr>
        <w:t>部门整体支出绩效自评报告</w:t>
      </w:r>
    </w:p>
    <w:p w14:paraId="7097467B">
      <w:pPr>
        <w:spacing w:line="560" w:lineRule="exact"/>
        <w:jc w:val="center"/>
        <w:rPr>
          <w:rFonts w:ascii="Times New Roman" w:eastAsia="楷体_GB2312"/>
          <w:snapToGrid w:val="0"/>
          <w:kern w:val="21"/>
          <w:sz w:val="32"/>
          <w:szCs w:val="32"/>
        </w:rPr>
      </w:pPr>
      <w:r>
        <w:rPr>
          <w:rFonts w:hint="eastAsia" w:ascii="Times New Roman" w:eastAsia="楷体_GB2312"/>
          <w:snapToGrid w:val="0"/>
          <w:kern w:val="21"/>
          <w:sz w:val="32"/>
          <w:szCs w:val="32"/>
        </w:rPr>
        <w:t>（参考提纲）</w:t>
      </w:r>
    </w:p>
    <w:p w14:paraId="14FB9BA6">
      <w:pPr>
        <w:spacing w:line="560" w:lineRule="exact"/>
        <w:ind w:firstLine="842" w:firstLineChars="200"/>
        <w:rPr>
          <w:rFonts w:ascii="黑体" w:hAnsi="黑体" w:eastAsia="黑体"/>
          <w:snapToGrid w:val="0"/>
          <w:kern w:val="21"/>
          <w:sz w:val="32"/>
          <w:szCs w:val="32"/>
        </w:rPr>
      </w:pPr>
      <w:r>
        <w:rPr>
          <w:rFonts w:hint="eastAsia" w:ascii="黑体" w:hAnsi="黑体" w:eastAsia="黑体"/>
          <w:snapToGrid w:val="0"/>
          <w:kern w:val="21"/>
          <w:sz w:val="32"/>
          <w:szCs w:val="32"/>
        </w:rPr>
        <w:t>一、部门概况</w:t>
      </w:r>
    </w:p>
    <w:p w14:paraId="275260C3">
      <w:pPr>
        <w:keepNext w:val="0"/>
        <w:keepLines w:val="0"/>
        <w:pageBreakBefore w:val="0"/>
        <w:tabs>
          <w:tab w:val="center" w:pos="4156"/>
        </w:tabs>
        <w:kinsoku/>
        <w:wordWrap/>
        <w:overflowPunct/>
        <w:topLinePunct w:val="0"/>
        <w:autoSpaceDE/>
        <w:autoSpaceDN/>
        <w:bidi w:val="0"/>
        <w:adjustRightInd/>
        <w:snapToGrid/>
        <w:spacing w:line="587" w:lineRule="exact"/>
        <w:ind w:firstLine="631" w:firstLineChars="150"/>
        <w:textAlignment w:val="auto"/>
        <w:rPr>
          <w:rFonts w:hint="eastAsia" w:ascii="楷体_GB2312" w:hAnsi="黑体" w:eastAsia="楷体_GB2312"/>
          <w:b/>
          <w:snapToGrid w:val="0"/>
          <w:spacing w:val="0"/>
          <w:kern w:val="21"/>
          <w:sz w:val="32"/>
          <w:szCs w:val="32"/>
          <w:lang w:eastAsia="zh-CN"/>
        </w:rPr>
      </w:pPr>
      <w:r>
        <w:rPr>
          <w:rFonts w:hint="eastAsia" w:ascii="楷体_GB2312" w:hAnsi="黑体" w:eastAsia="楷体_GB2312"/>
          <w:b/>
          <w:snapToGrid w:val="0"/>
          <w:spacing w:val="0"/>
          <w:kern w:val="21"/>
          <w:sz w:val="32"/>
          <w:szCs w:val="32"/>
        </w:rPr>
        <w:t>（一）基本情况</w:t>
      </w:r>
      <w:r>
        <w:rPr>
          <w:rFonts w:hint="eastAsia" w:ascii="楷体_GB2312" w:hAnsi="黑体" w:eastAsia="楷体_GB2312"/>
          <w:b/>
          <w:snapToGrid w:val="0"/>
          <w:spacing w:val="0"/>
          <w:kern w:val="21"/>
          <w:sz w:val="32"/>
          <w:szCs w:val="32"/>
          <w:lang w:eastAsia="zh-CN"/>
        </w:rPr>
        <w:tab/>
      </w:r>
    </w:p>
    <w:p w14:paraId="0878F9B2">
      <w:pPr>
        <w:keepNext w:val="0"/>
        <w:keepLines w:val="0"/>
        <w:pageBreakBefore w:val="0"/>
        <w:kinsoku/>
        <w:wordWrap/>
        <w:overflowPunct/>
        <w:topLinePunct w:val="0"/>
        <w:autoSpaceDE/>
        <w:autoSpaceDN/>
        <w:bidi w:val="0"/>
        <w:adjustRightInd/>
        <w:snapToGrid/>
        <w:spacing w:line="587" w:lineRule="exact"/>
        <w:ind w:firstLine="631" w:firstLineChars="150"/>
        <w:textAlignment w:val="auto"/>
        <w:rPr>
          <w:rFonts w:hint="eastAsia" w:ascii="仿宋_GB2312" w:eastAsia="仿宋_GB2312"/>
          <w:snapToGrid w:val="0"/>
          <w:spacing w:val="0"/>
          <w:kern w:val="21"/>
          <w:sz w:val="32"/>
          <w:szCs w:val="32"/>
        </w:rPr>
      </w:pPr>
      <w:r>
        <w:rPr>
          <w:rFonts w:hint="eastAsia" w:ascii="仿宋_GB2312" w:eastAsia="仿宋_GB2312"/>
          <w:snapToGrid w:val="0"/>
          <w:spacing w:val="0"/>
          <w:kern w:val="21"/>
          <w:sz w:val="32"/>
          <w:szCs w:val="32"/>
        </w:rPr>
        <w:t>1.</w:t>
      </w:r>
      <w:r>
        <w:rPr>
          <w:rFonts w:hint="eastAsia" w:ascii="仿宋_GB2312" w:eastAsia="仿宋_GB2312"/>
          <w:snapToGrid w:val="0"/>
          <w:spacing w:val="0"/>
          <w:kern w:val="21"/>
          <w:sz w:val="32"/>
          <w:szCs w:val="32"/>
          <w:lang w:eastAsia="zh-CN"/>
        </w:rPr>
        <w:t>部门</w:t>
      </w:r>
      <w:r>
        <w:rPr>
          <w:rFonts w:hint="eastAsia" w:ascii="仿宋_GB2312" w:eastAsia="仿宋_GB2312"/>
          <w:snapToGrid w:val="0"/>
          <w:spacing w:val="0"/>
          <w:kern w:val="21"/>
          <w:sz w:val="32"/>
          <w:szCs w:val="32"/>
        </w:rPr>
        <w:t>基本情况</w:t>
      </w:r>
    </w:p>
    <w:p w14:paraId="012503C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eastAsia="仿宋_GB2312"/>
          <w:snapToGrid w:val="0"/>
          <w:spacing w:val="0"/>
          <w:kern w:val="21"/>
          <w:sz w:val="32"/>
          <w:szCs w:val="32"/>
          <w:lang w:eastAsia="zh-CN"/>
        </w:rPr>
      </w:pPr>
      <w:r>
        <w:rPr>
          <w:rFonts w:hint="eastAsia" w:ascii="Times New Roman" w:hAnsi="Times New Roman" w:eastAsia="仿宋_GB2312" w:cs="仿宋_GB2312"/>
          <w:snapToGrid w:val="0"/>
          <w:spacing w:val="0"/>
          <w:kern w:val="21"/>
          <w:sz w:val="32"/>
          <w:szCs w:val="32"/>
        </w:rPr>
        <w:t>山丹县卫生健康局（以下简称县卫生健康局）是县政府工作部门，为正科级。</w:t>
      </w:r>
      <w:r>
        <w:rPr>
          <w:rStyle w:val="8"/>
          <w:rFonts w:hint="eastAsia" w:ascii="仿宋_GB2312" w:hAnsi="仿宋_GB2312" w:eastAsia="仿宋_GB2312" w:cs="仿宋_GB2312"/>
          <w:b w:val="0"/>
          <w:bCs w:val="0"/>
          <w:i w:val="0"/>
          <w:iCs w:val="0"/>
          <w:caps w:val="0"/>
          <w:snapToGrid w:val="0"/>
          <w:color w:val="auto"/>
          <w:spacing w:val="0"/>
          <w:kern w:val="21"/>
          <w:sz w:val="32"/>
          <w:szCs w:val="32"/>
        </w:rPr>
        <w:t>部门预算</w:t>
      </w:r>
      <w:r>
        <w:rPr>
          <w:rStyle w:val="8"/>
          <w:rFonts w:hint="eastAsia" w:ascii="仿宋_GB2312" w:hAnsi="仿宋_GB2312" w:eastAsia="仿宋_GB2312" w:cs="仿宋_GB2312"/>
          <w:b w:val="0"/>
          <w:bCs w:val="0"/>
          <w:i w:val="0"/>
          <w:iCs w:val="0"/>
          <w:caps w:val="0"/>
          <w:snapToGrid w:val="0"/>
          <w:color w:val="auto"/>
          <w:spacing w:val="0"/>
          <w:kern w:val="21"/>
          <w:sz w:val="32"/>
          <w:szCs w:val="32"/>
          <w:lang w:eastAsia="zh-CN"/>
        </w:rPr>
        <w:t>由</w:t>
      </w:r>
      <w:r>
        <w:rPr>
          <w:rStyle w:val="8"/>
          <w:rFonts w:hint="eastAsia" w:ascii="仿宋_GB2312" w:hAnsi="仿宋_GB2312" w:eastAsia="仿宋_GB2312" w:cs="仿宋_GB2312"/>
          <w:b w:val="0"/>
          <w:bCs w:val="0"/>
          <w:i w:val="0"/>
          <w:iCs w:val="0"/>
          <w:caps w:val="0"/>
          <w:snapToGrid w:val="0"/>
          <w:color w:val="auto"/>
          <w:spacing w:val="0"/>
          <w:kern w:val="21"/>
          <w:sz w:val="32"/>
          <w:szCs w:val="32"/>
          <w:lang w:val="en-US" w:eastAsia="zh-CN"/>
        </w:rPr>
        <w:t>4个县级医疗机构和8个乡镇卫生院构成，包括；</w:t>
      </w:r>
      <w:r>
        <w:rPr>
          <w:rFonts w:hint="eastAsia" w:ascii="仿宋_GB2312" w:hAnsi="仿宋_GB2312" w:eastAsia="仿宋_GB2312" w:cs="仿宋_GB2312"/>
          <w:b w:val="0"/>
          <w:bCs w:val="0"/>
          <w:i w:val="0"/>
          <w:iCs w:val="0"/>
          <w:caps w:val="0"/>
          <w:snapToGrid w:val="0"/>
          <w:color w:val="auto"/>
          <w:spacing w:val="0"/>
          <w:kern w:val="21"/>
          <w:sz w:val="32"/>
          <w:szCs w:val="32"/>
          <w:lang w:val="en-US" w:eastAsia="zh-CN"/>
        </w:rPr>
        <w:t>山丹县人民医院、山丹县中医医院、山丹县妇幼保健院、山丹县疾病预防控制中心、</w:t>
      </w:r>
      <w:r>
        <w:rPr>
          <w:rFonts w:hint="eastAsia" w:ascii="仿宋_GB2312" w:hAnsi="仿宋_GB2312" w:eastAsia="仿宋_GB2312" w:cs="仿宋_GB2312"/>
          <w:b w:val="0"/>
          <w:bCs w:val="0"/>
          <w:i w:val="0"/>
          <w:iCs w:val="0"/>
          <w:caps w:val="0"/>
          <w:snapToGrid w:val="0"/>
          <w:color w:val="auto"/>
          <w:spacing w:val="0"/>
          <w:kern w:val="21"/>
          <w:sz w:val="32"/>
          <w:szCs w:val="32"/>
        </w:rPr>
        <w:t>清泉中心卫生院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李桥中心卫生院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东乐中心卫生院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大马营中心卫生院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陈户中心卫生院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霍城镇卫生院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位奇镇卫生院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仿宋_GB2312" w:hAnsi="仿宋_GB2312" w:eastAsia="仿宋_GB2312" w:cs="仿宋_GB2312"/>
          <w:b w:val="0"/>
          <w:bCs w:val="0"/>
          <w:i w:val="0"/>
          <w:iCs w:val="0"/>
          <w:caps w:val="0"/>
          <w:snapToGrid w:val="0"/>
          <w:color w:val="auto"/>
          <w:spacing w:val="0"/>
          <w:kern w:val="21"/>
          <w:sz w:val="32"/>
          <w:szCs w:val="32"/>
        </w:rPr>
        <w:t>老军乡卫生院</w:t>
      </w:r>
      <w:r>
        <w:rPr>
          <w:rFonts w:hint="eastAsia" w:ascii="仿宋_GB2312" w:hAnsi="仿宋_GB2312" w:eastAsia="仿宋_GB2312" w:cs="仿宋_GB2312"/>
          <w:b w:val="0"/>
          <w:bCs w:val="0"/>
          <w:i w:val="0"/>
          <w:iCs w:val="0"/>
          <w:caps w:val="0"/>
          <w:snapToGrid w:val="0"/>
          <w:color w:val="auto"/>
          <w:spacing w:val="0"/>
          <w:kern w:val="21"/>
          <w:sz w:val="32"/>
          <w:szCs w:val="32"/>
          <w:lang w:eastAsia="zh-CN"/>
        </w:rPr>
        <w:t>。</w:t>
      </w:r>
      <w:r>
        <w:rPr>
          <w:rFonts w:hint="eastAsia" w:ascii="Times New Roman" w:hAnsi="Times New Roman" w:eastAsia="仿宋_GB2312" w:cs="仿宋_GB2312"/>
          <w:snapToGrid w:val="0"/>
          <w:spacing w:val="0"/>
          <w:kern w:val="21"/>
          <w:sz w:val="32"/>
          <w:szCs w:val="32"/>
        </w:rPr>
        <w:t>县</w:t>
      </w:r>
      <w:r>
        <w:rPr>
          <w:rFonts w:hint="eastAsia" w:ascii="Times New Roman" w:hAnsi="Times New Roman" w:eastAsia="仿宋_GB2312" w:cs="仿宋_GB2312"/>
          <w:snapToGrid w:val="0"/>
          <w:spacing w:val="0"/>
          <w:kern w:val="21"/>
          <w:sz w:val="32"/>
          <w:szCs w:val="32"/>
          <w:lang w:eastAsia="zh-CN"/>
        </w:rPr>
        <w:t>卫生健康局</w:t>
      </w:r>
      <w:r>
        <w:rPr>
          <w:rFonts w:hint="eastAsia" w:ascii="Times New Roman" w:hAnsi="Times New Roman" w:eastAsia="仿宋_GB2312" w:cs="仿宋_GB2312"/>
          <w:snapToGrid w:val="0"/>
          <w:spacing w:val="0"/>
          <w:kern w:val="21"/>
          <w:sz w:val="32"/>
          <w:szCs w:val="32"/>
        </w:rPr>
        <w:t>贯彻落实党中央和省、市、县委关于</w:t>
      </w:r>
      <w:r>
        <w:rPr>
          <w:rFonts w:hint="eastAsia" w:ascii="Times New Roman" w:hAnsi="Times New Roman" w:eastAsia="仿宋_GB2312" w:cs="仿宋_GB2312"/>
          <w:snapToGrid w:val="0"/>
          <w:spacing w:val="0"/>
          <w:kern w:val="21"/>
          <w:sz w:val="32"/>
          <w:szCs w:val="32"/>
          <w:lang w:eastAsia="zh-CN"/>
        </w:rPr>
        <w:t>卫生健康</w:t>
      </w:r>
      <w:r>
        <w:rPr>
          <w:rFonts w:hint="eastAsia" w:ascii="Times New Roman" w:hAnsi="Times New Roman" w:eastAsia="仿宋_GB2312" w:cs="仿宋_GB2312"/>
          <w:snapToGrid w:val="0"/>
          <w:spacing w:val="0"/>
          <w:kern w:val="21"/>
          <w:sz w:val="32"/>
          <w:szCs w:val="32"/>
        </w:rPr>
        <w:t>工作的方针政策和决策部署，在履行职责过程中坚持和加强党对</w:t>
      </w:r>
      <w:r>
        <w:rPr>
          <w:rFonts w:hint="eastAsia" w:ascii="Times New Roman" w:hAnsi="Times New Roman" w:eastAsia="仿宋_GB2312" w:cs="仿宋_GB2312"/>
          <w:snapToGrid w:val="0"/>
          <w:spacing w:val="0"/>
          <w:kern w:val="21"/>
          <w:sz w:val="32"/>
          <w:szCs w:val="32"/>
          <w:lang w:eastAsia="zh-CN"/>
        </w:rPr>
        <w:t>卫生健康</w:t>
      </w:r>
      <w:r>
        <w:rPr>
          <w:rFonts w:hint="eastAsia" w:ascii="Times New Roman" w:hAnsi="Times New Roman" w:eastAsia="仿宋_GB2312" w:cs="仿宋_GB2312"/>
          <w:snapToGrid w:val="0"/>
          <w:spacing w:val="0"/>
          <w:kern w:val="21"/>
          <w:sz w:val="32"/>
          <w:szCs w:val="32"/>
        </w:rPr>
        <w:t>工作的集中统一领导</w:t>
      </w:r>
      <w:r>
        <w:rPr>
          <w:rFonts w:hint="eastAsia" w:ascii="Times New Roman" w:hAnsi="Times New Roman" w:eastAsia="仿宋_GB2312" w:cs="仿宋_GB2312"/>
          <w:snapToGrid w:val="0"/>
          <w:spacing w:val="0"/>
          <w:kern w:val="21"/>
          <w:sz w:val="32"/>
          <w:szCs w:val="32"/>
          <w:lang w:eastAsia="zh-CN"/>
        </w:rPr>
        <w:t>。</w:t>
      </w:r>
    </w:p>
    <w:p w14:paraId="32A2995A">
      <w:pPr>
        <w:keepNext w:val="0"/>
        <w:keepLines w:val="0"/>
        <w:pageBreakBefore w:val="0"/>
        <w:numPr>
          <w:ilvl w:val="0"/>
          <w:numId w:val="0"/>
        </w:numPr>
        <w:kinsoku/>
        <w:wordWrap/>
        <w:overflowPunct/>
        <w:topLinePunct w:val="0"/>
        <w:autoSpaceDE/>
        <w:autoSpaceDN/>
        <w:bidi w:val="0"/>
        <w:adjustRightInd/>
        <w:snapToGrid/>
        <w:spacing w:line="587" w:lineRule="exact"/>
        <w:ind w:firstLine="631" w:firstLineChars="150"/>
        <w:textAlignment w:val="auto"/>
        <w:rPr>
          <w:rFonts w:hint="eastAsia" w:ascii="仿宋_GB2312" w:eastAsia="仿宋_GB2312"/>
          <w:spacing w:val="0"/>
          <w:kern w:val="21"/>
          <w:sz w:val="32"/>
          <w:szCs w:val="32"/>
        </w:rPr>
      </w:pPr>
      <w:r>
        <w:rPr>
          <w:rFonts w:hint="eastAsia" w:ascii="仿宋_GB2312" w:eastAsia="仿宋_GB2312"/>
          <w:spacing w:val="0"/>
          <w:kern w:val="21"/>
          <w:sz w:val="32"/>
          <w:szCs w:val="32"/>
          <w:lang w:val="en-US" w:eastAsia="zh-CN"/>
        </w:rPr>
        <w:t>2.</w:t>
      </w:r>
      <w:r>
        <w:rPr>
          <w:rFonts w:hint="eastAsia" w:ascii="仿宋_GB2312" w:eastAsia="仿宋_GB2312"/>
          <w:spacing w:val="0"/>
          <w:kern w:val="21"/>
          <w:sz w:val="32"/>
          <w:szCs w:val="32"/>
          <w:lang w:eastAsia="zh-CN"/>
        </w:rPr>
        <w:t>部门</w:t>
      </w:r>
      <w:r>
        <w:rPr>
          <w:rFonts w:hint="eastAsia" w:ascii="仿宋_GB2312" w:eastAsia="仿宋_GB2312"/>
          <w:spacing w:val="0"/>
          <w:kern w:val="21"/>
          <w:sz w:val="32"/>
          <w:szCs w:val="32"/>
        </w:rPr>
        <w:t>职能职责</w:t>
      </w:r>
    </w:p>
    <w:p w14:paraId="074A9BF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一）贯彻落实党和国家卫生健康法律法规和方针政策，拟订卫生健康、中医药事业发展规章草案，统筹规划卫生健康资源配置，拟订县域卫生健康规划并组织实施。拟订并组织实施推进卫生健康基本公共服务均等化、普惠化、便捷化和公共资源向基层延伸等政策措施。</w:t>
      </w:r>
    </w:p>
    <w:p w14:paraId="01B319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二）协调推进深化全县医药卫生体制改革，研究提出深化医药卫生体制改革政策、措施的建议。加大公立医院综合改革力度，推进管办分离，落实现代医院管理制度，推动卫生健康公共服务提供主体多元化、方式多样化，提出医疗服务和药品价格政策的建议。</w:t>
      </w:r>
    </w:p>
    <w:p w14:paraId="4BFF2A4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三）制定并组织落实全县疾病预防控制规划、免疫规划、严重危害人民健康公共卫生问题的干预措施。制定全县卫生应急和紧急医疗救援预案、突发公共卫生事件监测和风险评估方案，负责卫生应急工作，组织和指导全县突发公共卫生事件的预防控制和医疗卫生救援，依照程序和要求发布法定报告传染病疫情信息、突发公共卫生事件应急处置信息。</w:t>
      </w:r>
    </w:p>
    <w:p w14:paraId="46B371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（四）组织拟订并协调落实应对人口老龄化政策措施，负责推进全县老年健康服务体系建设和医养结合工作。</w:t>
      </w:r>
    </w:p>
    <w:p w14:paraId="1E37E93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五）贯彻落实国家药物政策和国家基本药物制度，开展药品使用监测、临床综合评价和短缺药品预警，依据国家基本药物目录及甘肃省药品增补目录，指导落实基本药物的采购、配送、使用政策措施。宣传贯彻和追踪评价食品安全标准，开展食品安全风险监测、评估。</w:t>
      </w:r>
    </w:p>
    <w:p w14:paraId="4B06B64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六）负责职责范围内的职业卫生、放射卫生、环境卫生、学校卫生、公共场所卫生、饮用水卫生等公共卫生的监测、调查、评估和监督；负责传染病防治监督，建立健全卫生健康综合监督体系。牵头《烟草控制框架公约》履约工作。</w:t>
      </w:r>
    </w:p>
    <w:p w14:paraId="2A3DE7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七）制定全县医疗机构、医疗服务行业管理办法并监督实施，建立医疗服务评价和监督管理体系。会同有关部门贯彻执行国家卫生专业技术人员资格标准。制定并组织实施医疗机构及其医疗服务、医疗技术、医疗质量、医疗安全以及采供血机构管理的规范、标准，制定和实施卫生专业技术人员执业规则和服务规范。负责医疗机构安全生产监督管理。负责环境保护相关工作。指导有关协会、学会工作。</w:t>
      </w:r>
    </w:p>
    <w:p w14:paraId="544C2A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（八）负责全县计划生育管理和服务工作，开展人口监测预警，研究提出人口与家庭发展相关政策建议。</w:t>
      </w:r>
    </w:p>
    <w:p w14:paraId="0B2800E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九）拟订并实施全县基层卫生、妇幼健康发展规划和政策措施，指导全县基层卫生、妇幼健康服务体系和全科医生队伍建设。拟订全县卫生健康科技发展规划，组织实施相关科研项目。推进卫生健康科技创新发展。</w:t>
      </w:r>
    </w:p>
    <w:p w14:paraId="6D83A83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（十）负责全县卫生健康宣传教育、健康促进和信息化建设等工作，依法组织实施卫生健康统计调查。组织开展卫生健康交流与合作。</w:t>
      </w:r>
    </w:p>
    <w:p w14:paraId="622527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（十一）制定并组织实施全县中医药事业发展规划。加强医疗机构和公共卫生领域的中医药建设，加大中医药人才培养力度，协调推进中医药服务贸易和中医药相关产业建设。</w:t>
      </w:r>
    </w:p>
    <w:p w14:paraId="7349CC3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（十二）负责县级保健对象的医疗保健工作，承担全县重大会议和重大活动的医疗卫生保障工作。</w:t>
      </w:r>
    </w:p>
    <w:p w14:paraId="0DA04B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（十三）负责公众健康权益保障工作，维护患者在就医过程中的基本权益和老年人合法权益。</w:t>
      </w:r>
    </w:p>
    <w:p w14:paraId="5923A7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（十四）指导山丹县计划生育协会的业务工作。</w:t>
      </w:r>
    </w:p>
    <w:p w14:paraId="20F7D2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（十五）完成县委、县政府和上级业务部门交办的其他任务。</w:t>
      </w:r>
    </w:p>
    <w:p w14:paraId="775C55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六）职能转变。县卫生健康局应加强、优化、统筹全县卫生健康方面的能力建设。牢固树立大卫生、大健康理念，推动实施健康山丹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方式多样化。五是深入推进简政放权。加强对行业内交叉重复以及性质相同、用途相近的卫生项目的统筹整合，最大限度缩小项目审批范围，进一步做好精简下放有关行政审批事项的承接工作，加强事中事后监管。</w:t>
      </w:r>
    </w:p>
    <w:p w14:paraId="7C3ED2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（十七）有关职责分工。</w:t>
      </w:r>
    </w:p>
    <w:p w14:paraId="6CBDE42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1.与县发展和改革局的有关职责分工。县卫生健康局负责开展人口监测预警工作，研究提出与生育相关的人口数量、素质、结构、分布方面的政策建议，促进生育政策和相关经济社会政策配套衔接，参与制订人口发展规划和政策，落实国家和我县人口发展规划中的有关任务。县发展和改革局负责组织监测和评估人口变动情况及趋势影响，完善人口预测预报制度，开展重大决策人口影响评估，完善重大人口政策咨询机制，落实国家人口发展战略，拟订人口发展规划，研究提出人口与经济、社会、资源、环境协调可持续发展，以及统筹促进人口长期均衡发展的政策建议。</w:t>
      </w:r>
    </w:p>
    <w:p w14:paraId="4732E2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2.与县民政局的有关职责分工。县卫生健康局负责拟订应对人口老龄化、医养结合政策措施，综合协调、督促指导、组织推进老龄事业发展，承担老年疾病防治、老年人医疗照护、老年人心理健康与关怀服务等老年健康工作。县民政局负责统筹推进、督促指导、监督管理养老服务工作，拟订养老服务体系建设规划、政策、标准并组织实施，承担老年人福利和特殊困难老年人救助工作。</w:t>
      </w:r>
    </w:p>
    <w:p w14:paraId="162FC1B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3.与县市场监督管理局的有关职责分工。县卫生健康局负责食品安全风险评估工作，会同县市场监督管理局等部门制定、实施食品安全风险监测计划。县卫生健康局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局提出建议。县市场监督管理局会同县卫生健康局建立重大药品不良反应和医疗器械不良事件相互通报机制和联合处置机制。</w:t>
      </w:r>
    </w:p>
    <w:p w14:paraId="077BAE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7" w:lineRule="exact"/>
        <w:ind w:left="0" w:right="0" w:firstLine="631" w:firstLineChars="150"/>
        <w:jc w:val="both"/>
        <w:textAlignment w:val="auto"/>
        <w:rPr>
          <w:rFonts w:hint="eastAsia" w:ascii="仿宋_GB2312" w:hAnsi="仿宋_GB2312" w:eastAsia="仿宋_GB2312" w:cs="仿宋_GB2312"/>
          <w:b w:val="0"/>
          <w:bCs w:val="0"/>
          <w:i w:val="0"/>
          <w:iCs w:val="0"/>
          <w:caps w:val="0"/>
          <w:snapToGrid w:val="0"/>
          <w:color w:val="auto"/>
          <w:spacing w:val="0"/>
          <w:kern w:val="21"/>
          <w:sz w:val="32"/>
          <w:szCs w:val="32"/>
        </w:rPr>
      </w:pPr>
      <w:r>
        <w:rPr>
          <w:rFonts w:hint="eastAsia" w:ascii="仿宋_GB2312" w:hAnsi="仿宋_GB2312" w:eastAsia="仿宋_GB2312" w:cs="仿宋_GB2312"/>
          <w:b w:val="0"/>
          <w:bCs w:val="0"/>
          <w:i w:val="0"/>
          <w:iCs w:val="0"/>
          <w:caps w:val="0"/>
          <w:snapToGrid w:val="0"/>
          <w:color w:val="auto"/>
          <w:spacing w:val="0"/>
          <w:kern w:val="21"/>
          <w:sz w:val="32"/>
          <w:szCs w:val="32"/>
        </w:rPr>
        <w:t>4.与县医疗保障局的有关职责分工。县卫生健康局、县医疗保障局等部门在医疗、医保、医药等方面加强制度、政策衔接，建立沟通协商机制，协同推进改革，提高医疗资源使用效率和医疗保障水平。</w:t>
      </w:r>
    </w:p>
    <w:p w14:paraId="6BE34F85">
      <w:pPr>
        <w:keepNext w:val="0"/>
        <w:keepLines w:val="0"/>
        <w:pageBreakBefore w:val="0"/>
        <w:kinsoku/>
        <w:wordWrap/>
        <w:overflowPunct/>
        <w:topLinePunct w:val="0"/>
        <w:autoSpaceDE/>
        <w:autoSpaceDN/>
        <w:bidi w:val="0"/>
        <w:adjustRightInd/>
        <w:snapToGrid/>
        <w:spacing w:line="587" w:lineRule="exact"/>
        <w:ind w:firstLine="631" w:firstLineChars="150"/>
        <w:textAlignment w:val="auto"/>
        <w:rPr>
          <w:rFonts w:hint="eastAsia" w:ascii="楷体_GB2312" w:hAnsi="黑体" w:eastAsia="楷体_GB2312"/>
          <w:b/>
          <w:spacing w:val="0"/>
          <w:kern w:val="21"/>
          <w:sz w:val="32"/>
          <w:szCs w:val="32"/>
        </w:rPr>
      </w:pPr>
      <w:r>
        <w:rPr>
          <w:rFonts w:hint="eastAsia" w:ascii="楷体_GB2312" w:hAnsi="黑体" w:eastAsia="楷体_GB2312"/>
          <w:b/>
          <w:spacing w:val="0"/>
          <w:kern w:val="21"/>
          <w:sz w:val="32"/>
          <w:szCs w:val="32"/>
        </w:rPr>
        <w:t>（二）年度重点工作</w:t>
      </w:r>
    </w:p>
    <w:p w14:paraId="514E2459">
      <w:pPr>
        <w:keepNext w:val="0"/>
        <w:keepLines w:val="0"/>
        <w:pageBreakBefore w:val="0"/>
        <w:widowControl w:val="0"/>
        <w:kinsoku/>
        <w:wordWrap/>
        <w:overflowPunct/>
        <w:topLinePunct w:val="0"/>
        <w:autoSpaceDE/>
        <w:autoSpaceDN/>
        <w:bidi w:val="0"/>
        <w:adjustRightInd/>
        <w:snapToGrid/>
        <w:spacing w:line="587" w:lineRule="exact"/>
        <w:ind w:firstLine="631" w:firstLineChars="150"/>
        <w:textAlignment w:val="auto"/>
        <w:rPr>
          <w:rFonts w:hint="eastAsia" w:ascii="楷体_GB2312" w:hAnsi="黑体" w:eastAsia="楷体_GB2312"/>
          <w:b/>
          <w:spacing w:val="0"/>
          <w:kern w:val="21"/>
          <w:sz w:val="32"/>
          <w:szCs w:val="32"/>
        </w:rPr>
      </w:pPr>
      <w:r>
        <w:rPr>
          <w:rFonts w:hint="eastAsia" w:ascii="Times New Roman" w:hAnsi="Times New Roman" w:eastAsia="仿宋_GB2312" w:cs="仿宋_GB2312"/>
          <w:b w:val="0"/>
          <w:bCs w:val="0"/>
          <w:snapToGrid w:val="0"/>
          <w:color w:val="000000"/>
          <w:spacing w:val="0"/>
          <w:kern w:val="21"/>
          <w:sz w:val="32"/>
          <w:szCs w:val="32"/>
          <w:lang w:val="en-US" w:eastAsia="zh-CN"/>
        </w:rPr>
        <w:t>1.</w:t>
      </w:r>
      <w:r>
        <w:rPr>
          <w:rFonts w:hint="eastAsia" w:ascii="Times New Roman" w:hAnsi="Times New Roman" w:eastAsia="仿宋_GB2312" w:cs="仿宋_GB2312"/>
          <w:b w:val="0"/>
          <w:bCs w:val="0"/>
          <w:snapToGrid w:val="0"/>
          <w:color w:val="000000"/>
          <w:spacing w:val="0"/>
          <w:kern w:val="21"/>
          <w:sz w:val="32"/>
          <w:szCs w:val="32"/>
        </w:rPr>
        <w:t>以党史学习教育为统领，全面加强党</w:t>
      </w:r>
      <w:r>
        <w:rPr>
          <w:rFonts w:hint="eastAsia" w:ascii="Times New Roman" w:hAnsi="Times New Roman" w:eastAsia="仿宋_GB2312" w:cs="仿宋_GB2312"/>
          <w:b w:val="0"/>
          <w:bCs w:val="0"/>
          <w:snapToGrid w:val="0"/>
          <w:color w:val="000000"/>
          <w:spacing w:val="0"/>
          <w:kern w:val="21"/>
          <w:sz w:val="32"/>
          <w:szCs w:val="32"/>
          <w:lang w:eastAsia="zh-CN"/>
        </w:rPr>
        <w:t>的</w:t>
      </w:r>
      <w:r>
        <w:rPr>
          <w:rFonts w:hint="eastAsia" w:ascii="Times New Roman" w:hAnsi="Times New Roman" w:eastAsia="仿宋_GB2312" w:cs="仿宋_GB2312"/>
          <w:b w:val="0"/>
          <w:bCs w:val="0"/>
          <w:snapToGrid w:val="0"/>
          <w:color w:val="000000"/>
          <w:spacing w:val="0"/>
          <w:kern w:val="21"/>
          <w:sz w:val="32"/>
          <w:szCs w:val="32"/>
        </w:rPr>
        <w:t>建</w:t>
      </w:r>
      <w:r>
        <w:rPr>
          <w:rFonts w:hint="eastAsia" w:ascii="Times New Roman" w:hAnsi="Times New Roman" w:eastAsia="仿宋_GB2312" w:cs="仿宋_GB2312"/>
          <w:b w:val="0"/>
          <w:bCs w:val="0"/>
          <w:snapToGrid w:val="0"/>
          <w:color w:val="000000"/>
          <w:spacing w:val="0"/>
          <w:kern w:val="21"/>
          <w:sz w:val="32"/>
          <w:szCs w:val="32"/>
          <w:lang w:eastAsia="zh-CN"/>
        </w:rPr>
        <w:t>设和</w:t>
      </w:r>
      <w:r>
        <w:rPr>
          <w:rFonts w:hint="eastAsia" w:ascii="Times New Roman" w:hAnsi="Times New Roman" w:eastAsia="仿宋_GB2312" w:cs="仿宋_GB2312"/>
          <w:b w:val="0"/>
          <w:bCs w:val="0"/>
          <w:snapToGrid w:val="0"/>
          <w:color w:val="000000"/>
          <w:spacing w:val="0"/>
          <w:kern w:val="21"/>
          <w:sz w:val="32"/>
          <w:szCs w:val="32"/>
        </w:rPr>
        <w:t>党风廉政建设</w:t>
      </w:r>
      <w:r>
        <w:rPr>
          <w:rFonts w:hint="eastAsia" w:ascii="Times New Roman" w:hAnsi="Times New Roman" w:eastAsia="仿宋_GB2312" w:cs="仿宋_GB2312"/>
          <w:b w:val="0"/>
          <w:bCs w:val="0"/>
          <w:snapToGrid w:val="0"/>
          <w:color w:val="000000"/>
          <w:spacing w:val="0"/>
          <w:kern w:val="21"/>
          <w:sz w:val="32"/>
          <w:szCs w:val="32"/>
          <w:lang w:val="en-US" w:eastAsia="zh-CN"/>
        </w:rPr>
        <w:t>2</w:t>
      </w:r>
      <w:r>
        <w:rPr>
          <w:rFonts w:hint="eastAsia" w:ascii="Times New Roman" w:hAnsi="Times New Roman" w:eastAsia="仿宋_GB2312" w:cs="仿宋_GB2312"/>
          <w:b w:val="0"/>
          <w:bCs w:val="0"/>
          <w:snapToGrid w:val="0"/>
          <w:spacing w:val="0"/>
          <w:kern w:val="21"/>
          <w:sz w:val="32"/>
          <w:szCs w:val="32"/>
          <w:lang w:val="en-US" w:eastAsia="zh-CN"/>
        </w:rPr>
        <w:t>.以落实健康服务为关键，巩固拓展健康扶贫成果。3.</w:t>
      </w:r>
      <w:r>
        <w:rPr>
          <w:rFonts w:hint="eastAsia" w:ascii="Times New Roman" w:hAnsi="Times New Roman" w:eastAsia="仿宋_GB2312" w:cs="仿宋_GB2312"/>
          <w:b w:val="0"/>
          <w:bCs w:val="0"/>
          <w:snapToGrid w:val="0"/>
          <w:spacing w:val="0"/>
          <w:kern w:val="21"/>
          <w:sz w:val="32"/>
          <w:szCs w:val="32"/>
        </w:rPr>
        <w:t>以实现“三转两提高”为目标，不断深化医药卫生体制改革。</w:t>
      </w:r>
      <w:r>
        <w:rPr>
          <w:rFonts w:hint="eastAsia" w:ascii="Times New Roman" w:hAnsi="Times New Roman" w:eastAsia="仿宋_GB2312" w:cs="仿宋_GB2312"/>
          <w:b w:val="0"/>
          <w:bCs w:val="0"/>
          <w:snapToGrid w:val="0"/>
          <w:spacing w:val="0"/>
          <w:kern w:val="21"/>
          <w:sz w:val="32"/>
          <w:szCs w:val="32"/>
          <w:lang w:val="en-US" w:eastAsia="zh-CN"/>
        </w:rPr>
        <w:t>4.以提高健康水平为根本，稳步提升公共卫生服务水平。5.以完善服务基础为推手，着力优化医疗卫生服务质量。6.以发挥特色优势为目的，创新发展中医药事业。7.</w:t>
      </w:r>
      <w:r>
        <w:rPr>
          <w:rFonts w:hint="eastAsia" w:ascii="Times New Roman" w:hAnsi="Times New Roman" w:eastAsia="仿宋_GB2312" w:cs="仿宋_GB2312"/>
          <w:b w:val="0"/>
          <w:bCs w:val="0"/>
          <w:snapToGrid w:val="0"/>
          <w:spacing w:val="0"/>
          <w:kern w:val="21"/>
          <w:sz w:val="32"/>
          <w:szCs w:val="32"/>
        </w:rPr>
        <w:t>以推动均衡发展为遵循，统筹推进各项工作全面进步。</w:t>
      </w:r>
    </w:p>
    <w:p w14:paraId="33F85E69">
      <w:pPr>
        <w:keepNext w:val="0"/>
        <w:keepLines w:val="0"/>
        <w:pageBreakBefore w:val="0"/>
        <w:kinsoku/>
        <w:wordWrap/>
        <w:overflowPunct/>
        <w:topLinePunct w:val="0"/>
        <w:autoSpaceDE/>
        <w:autoSpaceDN/>
        <w:bidi w:val="0"/>
        <w:adjustRightInd/>
        <w:snapToGrid/>
        <w:spacing w:line="587" w:lineRule="exact"/>
        <w:ind w:firstLine="631" w:firstLineChars="150"/>
        <w:textAlignment w:val="auto"/>
        <w:rPr>
          <w:rFonts w:ascii="楷体_GB2312" w:hAnsi="黑体" w:eastAsia="楷体_GB2312"/>
          <w:b/>
          <w:spacing w:val="0"/>
          <w:kern w:val="21"/>
          <w:sz w:val="32"/>
          <w:szCs w:val="32"/>
        </w:rPr>
      </w:pPr>
      <w:r>
        <w:rPr>
          <w:rFonts w:hint="eastAsia" w:ascii="楷体_GB2312" w:hAnsi="黑体" w:eastAsia="楷体_GB2312"/>
          <w:b/>
          <w:spacing w:val="0"/>
          <w:kern w:val="21"/>
          <w:sz w:val="32"/>
          <w:szCs w:val="32"/>
        </w:rPr>
        <w:t>（三）整体收支情况</w:t>
      </w:r>
    </w:p>
    <w:p w14:paraId="48609C68">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default" w:ascii="Times New Roman" w:hAnsi="Times New Roman" w:eastAsia="仿宋_GB2312" w:cs="仿宋_GB2312"/>
          <w:snapToGrid w:val="0"/>
          <w:spacing w:val="0"/>
          <w:kern w:val="21"/>
          <w:sz w:val="32"/>
          <w:szCs w:val="32"/>
          <w:lang w:val="en-US" w:eastAsia="zh-CN"/>
        </w:rPr>
      </w:pPr>
      <w:r>
        <w:rPr>
          <w:rFonts w:hint="eastAsia" w:ascii="Times New Roman" w:hAnsi="Times New Roman" w:eastAsia="仿宋_GB2312" w:cs="仿宋_GB2312"/>
          <w:b/>
          <w:bCs/>
          <w:snapToGrid w:val="0"/>
          <w:spacing w:val="0"/>
          <w:kern w:val="21"/>
          <w:sz w:val="32"/>
          <w:szCs w:val="32"/>
        </w:rPr>
        <w:t>1.收入决算情况</w:t>
      </w:r>
      <w:r>
        <w:rPr>
          <w:rFonts w:hint="eastAsia" w:ascii="Times New Roman" w:hAnsi="Times New Roman" w:eastAsia="仿宋_GB2312" w:cs="仿宋_GB2312"/>
          <w:snapToGrid w:val="0"/>
          <w:spacing w:val="0"/>
          <w:kern w:val="21"/>
          <w:sz w:val="32"/>
          <w:szCs w:val="32"/>
        </w:rPr>
        <w:t>：</w:t>
      </w:r>
      <w:r>
        <w:rPr>
          <w:rFonts w:hint="eastAsia" w:ascii="Times New Roman" w:hAnsi="Times New Roman" w:eastAsia="仿宋_GB2312" w:cs="仿宋_GB2312"/>
          <w:snapToGrid w:val="0"/>
          <w:spacing w:val="0"/>
          <w:kern w:val="21"/>
          <w:sz w:val="32"/>
          <w:szCs w:val="32"/>
          <w:lang w:eastAsia="zh-CN"/>
        </w:rPr>
        <w:t>部门</w:t>
      </w:r>
      <w:r>
        <w:rPr>
          <w:rFonts w:hint="eastAsia" w:ascii="Times New Roman" w:hAnsi="Times New Roman" w:eastAsia="仿宋_GB2312" w:cs="仿宋_GB2312"/>
          <w:snapToGrid w:val="0"/>
          <w:spacing w:val="0"/>
          <w:kern w:val="21"/>
          <w:sz w:val="32"/>
          <w:szCs w:val="32"/>
        </w:rPr>
        <w:t>本年度总收入</w:t>
      </w:r>
      <w:r>
        <w:rPr>
          <w:rFonts w:hint="eastAsia" w:ascii="Times New Roman" w:hAnsi="Times New Roman" w:eastAsia="仿宋_GB2312" w:cs="仿宋_GB2312"/>
          <w:snapToGrid w:val="0"/>
          <w:spacing w:val="0"/>
          <w:kern w:val="21"/>
          <w:sz w:val="32"/>
          <w:szCs w:val="32"/>
          <w:lang w:val="en-US" w:eastAsia="zh-CN"/>
        </w:rPr>
        <w:t>30666.28万</w:t>
      </w:r>
      <w:r>
        <w:rPr>
          <w:rFonts w:hint="eastAsia" w:ascii="Times New Roman" w:hAnsi="Times New Roman" w:eastAsia="仿宋_GB2312" w:cs="仿宋_GB2312"/>
          <w:snapToGrid w:val="0"/>
          <w:spacing w:val="0"/>
          <w:kern w:val="21"/>
          <w:sz w:val="32"/>
          <w:szCs w:val="32"/>
        </w:rPr>
        <w:t>元，其中财政拨款</w:t>
      </w:r>
      <w:r>
        <w:rPr>
          <w:rFonts w:hint="eastAsia" w:ascii="Times New Roman" w:hAnsi="Times New Roman" w:eastAsia="仿宋_GB2312" w:cs="仿宋_GB2312"/>
          <w:snapToGrid w:val="0"/>
          <w:spacing w:val="0"/>
          <w:kern w:val="21"/>
          <w:sz w:val="32"/>
          <w:szCs w:val="32"/>
          <w:lang w:val="en-US" w:eastAsia="zh-CN"/>
        </w:rPr>
        <w:t>11186.41万</w:t>
      </w:r>
      <w:r>
        <w:rPr>
          <w:rFonts w:hint="eastAsia" w:ascii="Times New Roman" w:hAnsi="Times New Roman" w:eastAsia="仿宋_GB2312" w:cs="仿宋_GB2312"/>
          <w:snapToGrid w:val="0"/>
          <w:spacing w:val="0"/>
          <w:kern w:val="21"/>
          <w:sz w:val="32"/>
          <w:szCs w:val="32"/>
        </w:rPr>
        <w:t>元</w:t>
      </w:r>
      <w:r>
        <w:rPr>
          <w:rFonts w:hint="eastAsia" w:ascii="Times New Roman" w:hAnsi="Times New Roman" w:eastAsia="仿宋_GB2312" w:cs="仿宋_GB2312"/>
          <w:snapToGrid w:val="0"/>
          <w:spacing w:val="0"/>
          <w:kern w:val="21"/>
          <w:sz w:val="32"/>
          <w:szCs w:val="32"/>
          <w:lang w:eastAsia="zh-CN"/>
        </w:rPr>
        <w:t>，事业收入</w:t>
      </w:r>
      <w:r>
        <w:rPr>
          <w:rFonts w:hint="eastAsia" w:ascii="Times New Roman" w:hAnsi="Times New Roman" w:eastAsia="仿宋_GB2312" w:cs="仿宋_GB2312"/>
          <w:snapToGrid w:val="0"/>
          <w:spacing w:val="0"/>
          <w:kern w:val="21"/>
          <w:sz w:val="32"/>
          <w:szCs w:val="32"/>
          <w:lang w:val="en-US" w:eastAsia="zh-CN"/>
        </w:rPr>
        <w:t>19216.58万元，其他收入263.29万元。非财政拨款结余和专用结余715.26万元，年初结转和结余420.51万元。</w:t>
      </w:r>
    </w:p>
    <w:p w14:paraId="1D8E99C6">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kern w:val="21"/>
          <w:sz w:val="32"/>
          <w:szCs w:val="32"/>
          <w:lang w:val="en-US" w:eastAsia="zh-CN"/>
        </w:rPr>
      </w:pPr>
      <w:r>
        <w:rPr>
          <w:rFonts w:hint="eastAsia" w:ascii="Times New Roman" w:hAnsi="Times New Roman" w:eastAsia="仿宋_GB2312" w:cs="仿宋_GB2312"/>
          <w:b/>
          <w:bCs/>
          <w:snapToGrid w:val="0"/>
          <w:spacing w:val="0"/>
          <w:kern w:val="21"/>
          <w:sz w:val="32"/>
          <w:szCs w:val="32"/>
        </w:rPr>
        <w:t>2.支出决算情况</w:t>
      </w:r>
      <w:r>
        <w:rPr>
          <w:rFonts w:hint="eastAsia" w:ascii="Times New Roman" w:hAnsi="Times New Roman" w:eastAsia="仿宋_GB2312" w:cs="仿宋_GB2312"/>
          <w:snapToGrid w:val="0"/>
          <w:spacing w:val="0"/>
          <w:kern w:val="21"/>
          <w:sz w:val="32"/>
          <w:szCs w:val="32"/>
          <w:lang w:eastAsia="zh-CN"/>
        </w:rPr>
        <w:t>：部门</w:t>
      </w:r>
      <w:r>
        <w:rPr>
          <w:rFonts w:hint="eastAsia" w:ascii="Times New Roman" w:hAnsi="Times New Roman" w:eastAsia="仿宋_GB2312" w:cs="仿宋_GB2312"/>
          <w:snapToGrid w:val="0"/>
          <w:spacing w:val="0"/>
          <w:kern w:val="21"/>
          <w:sz w:val="32"/>
          <w:szCs w:val="32"/>
        </w:rPr>
        <w:t>本年度单位总支出</w:t>
      </w:r>
      <w:r>
        <w:rPr>
          <w:rFonts w:hint="eastAsia" w:ascii="Times New Roman" w:hAnsi="Times New Roman" w:eastAsia="仿宋_GB2312" w:cs="仿宋_GB2312"/>
          <w:snapToGrid w:val="0"/>
          <w:spacing w:val="0"/>
          <w:kern w:val="21"/>
          <w:sz w:val="32"/>
          <w:szCs w:val="32"/>
          <w:lang w:val="en-US" w:eastAsia="zh-CN"/>
        </w:rPr>
        <w:t>30929.53万</w:t>
      </w:r>
      <w:r>
        <w:rPr>
          <w:rFonts w:hint="eastAsia" w:ascii="Times New Roman" w:hAnsi="Times New Roman" w:eastAsia="仿宋_GB2312" w:cs="仿宋_GB2312"/>
          <w:snapToGrid w:val="0"/>
          <w:spacing w:val="0"/>
          <w:kern w:val="21"/>
          <w:sz w:val="32"/>
          <w:szCs w:val="32"/>
        </w:rPr>
        <w:t>元，按经济科目分，工资福利支出</w:t>
      </w:r>
      <w:r>
        <w:rPr>
          <w:rFonts w:hint="eastAsia" w:ascii="Times New Roman" w:hAnsi="Times New Roman" w:eastAsia="仿宋_GB2312" w:cs="仿宋_GB2312"/>
          <w:snapToGrid w:val="0"/>
          <w:spacing w:val="0"/>
          <w:kern w:val="21"/>
          <w:sz w:val="32"/>
          <w:szCs w:val="32"/>
          <w:lang w:val="en-US" w:eastAsia="zh-CN"/>
        </w:rPr>
        <w:t>14053.37万</w:t>
      </w:r>
      <w:r>
        <w:rPr>
          <w:rFonts w:hint="eastAsia" w:ascii="Times New Roman" w:hAnsi="Times New Roman" w:eastAsia="仿宋_GB2312" w:cs="仿宋_GB2312"/>
          <w:snapToGrid w:val="0"/>
          <w:spacing w:val="0"/>
          <w:kern w:val="21"/>
          <w:sz w:val="32"/>
          <w:szCs w:val="32"/>
        </w:rPr>
        <w:t>元，商品和服务支出</w:t>
      </w:r>
      <w:r>
        <w:rPr>
          <w:rFonts w:hint="eastAsia" w:ascii="Times New Roman" w:hAnsi="Times New Roman" w:eastAsia="仿宋_GB2312" w:cs="仿宋_GB2312"/>
          <w:snapToGrid w:val="0"/>
          <w:spacing w:val="0"/>
          <w:kern w:val="21"/>
          <w:sz w:val="32"/>
          <w:szCs w:val="32"/>
          <w:lang w:val="en-US" w:eastAsia="zh-CN"/>
        </w:rPr>
        <w:t>14090.81万</w:t>
      </w:r>
      <w:r>
        <w:rPr>
          <w:rFonts w:hint="eastAsia" w:ascii="Times New Roman" w:hAnsi="Times New Roman" w:eastAsia="仿宋_GB2312" w:cs="仿宋_GB2312"/>
          <w:snapToGrid w:val="0"/>
          <w:spacing w:val="0"/>
          <w:kern w:val="21"/>
          <w:sz w:val="32"/>
          <w:szCs w:val="32"/>
        </w:rPr>
        <w:t>元，对个人和家庭的补助</w:t>
      </w:r>
      <w:r>
        <w:rPr>
          <w:rFonts w:hint="eastAsia" w:ascii="Times New Roman" w:hAnsi="Times New Roman" w:eastAsia="仿宋_GB2312" w:cs="仿宋_GB2312"/>
          <w:snapToGrid w:val="0"/>
          <w:spacing w:val="0"/>
          <w:kern w:val="21"/>
          <w:sz w:val="32"/>
          <w:szCs w:val="32"/>
          <w:lang w:val="en-US" w:eastAsia="zh-CN"/>
        </w:rPr>
        <w:t>1065.64万</w:t>
      </w:r>
      <w:r>
        <w:rPr>
          <w:rFonts w:hint="eastAsia" w:ascii="Times New Roman" w:hAnsi="Times New Roman" w:eastAsia="仿宋_GB2312" w:cs="仿宋_GB2312"/>
          <w:snapToGrid w:val="0"/>
          <w:spacing w:val="0"/>
          <w:kern w:val="21"/>
          <w:sz w:val="32"/>
          <w:szCs w:val="32"/>
        </w:rPr>
        <w:t>元。</w:t>
      </w:r>
      <w:r>
        <w:rPr>
          <w:rFonts w:hint="eastAsia" w:ascii="Times New Roman" w:hAnsi="Times New Roman" w:eastAsia="仿宋_GB2312" w:cs="仿宋_GB2312"/>
          <w:snapToGrid w:val="0"/>
          <w:spacing w:val="0"/>
          <w:kern w:val="21"/>
          <w:sz w:val="32"/>
          <w:szCs w:val="32"/>
          <w:lang w:eastAsia="zh-CN"/>
        </w:rPr>
        <w:t>资本性支出</w:t>
      </w:r>
      <w:r>
        <w:rPr>
          <w:rFonts w:hint="eastAsia" w:ascii="Times New Roman" w:hAnsi="Times New Roman" w:eastAsia="仿宋_GB2312" w:cs="仿宋_GB2312"/>
          <w:snapToGrid w:val="0"/>
          <w:spacing w:val="0"/>
          <w:kern w:val="21"/>
          <w:sz w:val="32"/>
          <w:szCs w:val="32"/>
          <w:lang w:val="en-US" w:eastAsia="zh-CN"/>
        </w:rPr>
        <w:t>1440.45万元，其他费用支出43万元。</w:t>
      </w:r>
    </w:p>
    <w:p w14:paraId="4323E026">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ascii="黑体" w:hAnsi="黑体" w:eastAsia="黑体"/>
          <w:spacing w:val="0"/>
          <w:kern w:val="21"/>
          <w:sz w:val="32"/>
          <w:szCs w:val="32"/>
        </w:rPr>
      </w:pPr>
      <w:r>
        <w:rPr>
          <w:rFonts w:hint="eastAsia" w:ascii="黑体" w:hAnsi="黑体" w:eastAsia="黑体"/>
          <w:spacing w:val="0"/>
          <w:kern w:val="21"/>
          <w:sz w:val="32"/>
          <w:szCs w:val="32"/>
        </w:rPr>
        <w:t>二、整体支出管理及使用情况</w:t>
      </w:r>
    </w:p>
    <w:p w14:paraId="2F88EFBA">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kern w:val="21"/>
          <w:sz w:val="32"/>
          <w:szCs w:val="32"/>
          <w:highlight w:val="none"/>
          <w:lang w:val="en-US" w:eastAsia="zh-CN"/>
        </w:rPr>
      </w:pPr>
      <w:r>
        <w:rPr>
          <w:rFonts w:hint="eastAsia" w:ascii="Times New Roman" w:hAnsi="Times New Roman" w:eastAsia="楷体_GB2312"/>
          <w:b/>
          <w:bCs w:val="0"/>
          <w:snapToGrid w:val="0"/>
          <w:spacing w:val="0"/>
          <w:kern w:val="21"/>
          <w:sz w:val="32"/>
          <w:szCs w:val="32"/>
          <w:highlight w:val="none"/>
        </w:rPr>
        <w:t>（一）基本支出</w:t>
      </w:r>
      <w:r>
        <w:rPr>
          <w:rFonts w:hint="eastAsia" w:ascii="Times New Roman" w:hAnsi="Times New Roman" w:eastAsia="仿宋_GB2312" w:cs="仿宋_GB2312"/>
          <w:snapToGrid w:val="0"/>
          <w:spacing w:val="0"/>
          <w:kern w:val="21"/>
          <w:sz w:val="32"/>
          <w:szCs w:val="32"/>
          <w:highlight w:val="none"/>
          <w:lang w:eastAsia="zh-CN"/>
        </w:rPr>
        <w:t>：本年基本支</w:t>
      </w:r>
      <w:r>
        <w:rPr>
          <w:rFonts w:hint="eastAsia" w:ascii="Times New Roman" w:hAnsi="Times New Roman" w:eastAsia="仿宋_GB2312" w:cs="仿宋_GB2312"/>
          <w:snapToGrid w:val="0"/>
          <w:spacing w:val="0"/>
          <w:kern w:val="21"/>
          <w:sz w:val="32"/>
          <w:szCs w:val="32"/>
          <w:highlight w:val="none"/>
          <w:lang w:val="en-US" w:eastAsia="zh-CN"/>
        </w:rPr>
        <w:t>出24438.32万元，其中人员支出14217.8万元，公用经费支出10220.52万元。</w:t>
      </w:r>
    </w:p>
    <w:p w14:paraId="6C1F0F6D">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default" w:ascii="Times New Roman" w:hAnsi="Times New Roman" w:eastAsia="仿宋_GB2312" w:cs="仿宋_GB2312"/>
          <w:snapToGrid w:val="0"/>
          <w:spacing w:val="0"/>
          <w:kern w:val="21"/>
          <w:sz w:val="32"/>
          <w:szCs w:val="32"/>
          <w:highlight w:val="none"/>
          <w:lang w:val="en-US" w:eastAsia="zh-CN"/>
        </w:rPr>
      </w:pPr>
      <w:r>
        <w:rPr>
          <w:rFonts w:hint="eastAsia" w:ascii="Times New Roman" w:hAnsi="Times New Roman" w:eastAsia="楷体_GB2312"/>
          <w:b/>
          <w:bCs w:val="0"/>
          <w:snapToGrid w:val="0"/>
          <w:spacing w:val="0"/>
          <w:kern w:val="21"/>
          <w:sz w:val="32"/>
          <w:szCs w:val="32"/>
          <w:highlight w:val="none"/>
        </w:rPr>
        <w:t>（二）项目支出</w:t>
      </w:r>
      <w:r>
        <w:rPr>
          <w:rFonts w:hint="eastAsia" w:ascii="Times New Roman" w:hAnsi="Times New Roman" w:eastAsia="仿宋_GB2312" w:cs="仿宋_GB2312"/>
          <w:snapToGrid w:val="0"/>
          <w:spacing w:val="0"/>
          <w:kern w:val="21"/>
          <w:sz w:val="32"/>
          <w:szCs w:val="32"/>
          <w:highlight w:val="none"/>
          <w:lang w:eastAsia="zh-CN"/>
        </w:rPr>
        <w:t>：本年项目支出共计</w:t>
      </w:r>
      <w:r>
        <w:rPr>
          <w:rFonts w:hint="eastAsia" w:ascii="Times New Roman" w:hAnsi="Times New Roman" w:eastAsia="仿宋_GB2312" w:cs="仿宋_GB2312"/>
          <w:snapToGrid w:val="0"/>
          <w:spacing w:val="0"/>
          <w:kern w:val="21"/>
          <w:sz w:val="32"/>
          <w:szCs w:val="32"/>
          <w:highlight w:val="none"/>
          <w:lang w:val="en-US" w:eastAsia="zh-CN"/>
        </w:rPr>
        <w:t>6491.21元，其中爱国卫生县城创建工作经费4.52万元、城镇职工独生子女父母奖励费1.16万元，全县干部体检费12.72万元、基本公共卫生服务补助项目93.78万元、农村独生子女父母奖励费4.08万元、卫生健康系统疫情防控工作经费629.03万元、医务人员临时性工作补助245万元，重大传染病防控经费8.52万元，甘肃全场景疫情病原体检测系统费用8万元，计划生育家庭奖励费等314.76万元、75岁以上老人意外伤害保险12.11万元、80岁以上高龄老人生活补贴71.3元。其他项目支出5086.23万元。</w:t>
      </w:r>
    </w:p>
    <w:p w14:paraId="794429C1">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仿宋_GB2312" w:eastAsia="仿宋_GB2312"/>
          <w:snapToGrid w:val="0"/>
          <w:spacing w:val="0"/>
          <w:kern w:val="21"/>
          <w:sz w:val="32"/>
          <w:szCs w:val="32"/>
        </w:rPr>
      </w:pPr>
      <w:r>
        <w:rPr>
          <w:rFonts w:hint="eastAsia" w:ascii="仿宋_GB2312" w:eastAsia="仿宋_GB2312"/>
          <w:snapToGrid w:val="0"/>
          <w:spacing w:val="0"/>
          <w:kern w:val="21"/>
          <w:sz w:val="32"/>
          <w:szCs w:val="32"/>
        </w:rPr>
        <w:t>（三）“三公”经费决算说明</w:t>
      </w:r>
    </w:p>
    <w:p w14:paraId="21979E12">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firstLine="631" w:firstLineChars="150"/>
        <w:jc w:val="both"/>
        <w:textAlignment w:val="auto"/>
        <w:rPr>
          <w:rFonts w:hint="eastAsia" w:ascii="Times New Roman" w:hAnsi="Times New Roman" w:eastAsia="仿宋_GB2312" w:cs="仿宋_GB2312"/>
          <w:snapToGrid w:val="0"/>
          <w:spacing w:val="0"/>
          <w:kern w:val="21"/>
          <w:sz w:val="32"/>
          <w:szCs w:val="32"/>
          <w:lang w:val="en-US" w:eastAsia="zh-CN"/>
        </w:rPr>
      </w:pPr>
      <w:r>
        <w:rPr>
          <w:rFonts w:hint="eastAsia" w:ascii="Times New Roman" w:hAnsi="Times New Roman" w:eastAsia="仿宋_GB2312" w:cs="仿宋_GB2312"/>
          <w:snapToGrid w:val="0"/>
          <w:spacing w:val="0"/>
          <w:kern w:val="21"/>
          <w:sz w:val="32"/>
          <w:szCs w:val="32"/>
          <w:lang w:val="en-US" w:eastAsia="zh-CN"/>
        </w:rPr>
        <w:t>严控“三公经费”的使用，我局严格按照县纪委、县财政局、县审计局有关公务用车管理办法、公务接待工作管理办法和因公出国管理规定，规范了“三公经费”开支。公车改革后，我局没有公务车辆。“三公经费”中，公务接待费支出7650元，无出国（境）费用。</w:t>
      </w:r>
    </w:p>
    <w:p w14:paraId="7697B36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Times New Roman" w:hAnsi="Times New Roman" w:eastAsia="楷体_GB2312"/>
          <w:b/>
          <w:bCs w:val="0"/>
          <w:snapToGrid w:val="0"/>
          <w:spacing w:val="0"/>
          <w:kern w:val="21"/>
          <w:sz w:val="32"/>
          <w:szCs w:val="32"/>
          <w:lang w:val="en-US" w:eastAsia="zh-CN"/>
        </w:rPr>
      </w:pPr>
      <w:r>
        <w:rPr>
          <w:rFonts w:hint="eastAsia" w:ascii="Times New Roman" w:hAnsi="Times New Roman" w:eastAsia="楷体_GB2312"/>
          <w:b/>
          <w:bCs w:val="0"/>
          <w:snapToGrid w:val="0"/>
          <w:spacing w:val="0"/>
          <w:kern w:val="21"/>
          <w:sz w:val="32"/>
          <w:szCs w:val="32"/>
          <w:lang w:val="en-US" w:eastAsia="zh-CN"/>
        </w:rPr>
        <w:t>（四）支出管理情况</w:t>
      </w:r>
    </w:p>
    <w:p w14:paraId="46F10121">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firstLine="631" w:firstLineChars="150"/>
        <w:jc w:val="both"/>
        <w:textAlignment w:val="auto"/>
        <w:rPr>
          <w:rFonts w:hint="eastAsia" w:ascii="Times New Roman" w:hAnsi="Times New Roman" w:eastAsia="仿宋_GB2312" w:cs="仿宋_GB2312"/>
          <w:snapToGrid w:val="0"/>
          <w:spacing w:val="0"/>
          <w:kern w:val="21"/>
          <w:sz w:val="32"/>
          <w:szCs w:val="32"/>
          <w:lang w:val="en-US" w:eastAsia="zh-CN"/>
        </w:rPr>
      </w:pPr>
      <w:r>
        <w:rPr>
          <w:rFonts w:hint="eastAsia" w:ascii="Times New Roman" w:hAnsi="Times New Roman" w:eastAsia="仿宋_GB2312" w:cs="仿宋_GB2312"/>
          <w:snapToGrid w:val="0"/>
          <w:spacing w:val="0"/>
          <w:kern w:val="21"/>
          <w:sz w:val="32"/>
          <w:szCs w:val="32"/>
          <w:lang w:val="en-US" w:eastAsia="zh-CN"/>
        </w:rPr>
        <w:t>我部门基本支出的范围和主要用途包括部门的人员经费和日常公用经费。具体包括：工资福利支出、对个人和家庭的补助、商品和服务支出、其他资本性支出、其他支出，基本支出的管理和使用都严格执行财务支出管理制度。</w:t>
      </w:r>
    </w:p>
    <w:p w14:paraId="70D2F39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Times New Roman" w:hAnsi="Times New Roman" w:eastAsia="楷体_GB2312"/>
          <w:b/>
          <w:bCs w:val="0"/>
          <w:snapToGrid w:val="0"/>
          <w:spacing w:val="0"/>
          <w:kern w:val="21"/>
          <w:sz w:val="32"/>
          <w:szCs w:val="32"/>
          <w:lang w:val="en-US" w:eastAsia="zh-CN"/>
        </w:rPr>
      </w:pPr>
      <w:r>
        <w:rPr>
          <w:rFonts w:hint="eastAsia" w:ascii="Times New Roman" w:hAnsi="Times New Roman" w:eastAsia="楷体_GB2312"/>
          <w:b/>
          <w:bCs w:val="0"/>
          <w:snapToGrid w:val="0"/>
          <w:spacing w:val="0"/>
          <w:kern w:val="21"/>
          <w:sz w:val="32"/>
          <w:szCs w:val="32"/>
          <w:lang w:val="en-US" w:eastAsia="zh-CN"/>
        </w:rPr>
        <w:t>（五）资产管理情况</w:t>
      </w:r>
    </w:p>
    <w:p w14:paraId="15A5A025">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kern w:val="21"/>
          <w:sz w:val="32"/>
          <w:szCs w:val="32"/>
          <w:lang w:val="en-US" w:eastAsia="zh-CN"/>
        </w:rPr>
      </w:pPr>
      <w:r>
        <w:rPr>
          <w:rFonts w:hint="eastAsia" w:ascii="Times New Roman" w:hAnsi="Times New Roman" w:eastAsia="仿宋_GB2312" w:cs="仿宋_GB2312"/>
          <w:snapToGrid w:val="0"/>
          <w:spacing w:val="0"/>
          <w:kern w:val="21"/>
          <w:sz w:val="32"/>
          <w:szCs w:val="32"/>
          <w:lang w:val="en-US" w:eastAsia="zh-CN"/>
        </w:rPr>
        <w:t>本部门加强内部管理进一步理顺资产管理体制，加强资产管理制度建设和工作机制，加大固定资产投资。逐步理顺了国有资产管理的体制机制，按照“统一领导，归口管理、分级负责、责任到人、科学配置、管用结合、物尽其用”的原则，实行所有权和使用权分离，使我部门资产管理行为有章可循。本单位资产的管理使用力求做到“购置有计划并按程序审批，验收严肃认真，使用保管有专人，变动有手续，既保证需要，又防止浪费”。资产的增添贯彻勤俭节约的方针，充分考虑单位的需要和财力，尽量避免资产闲置和重复购置的情况出现，力争做到“优质低价、合理布局、统筹安排、突出重点”。加强内部学习和培训，通过决算和固定资产决算，做到账表一致。</w:t>
      </w:r>
    </w:p>
    <w:p w14:paraId="1BC36AD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left="0" w:leftChars="0" w:firstLine="631" w:firstLineChars="150"/>
        <w:jc w:val="both"/>
        <w:textAlignment w:val="auto"/>
        <w:rPr>
          <w:rFonts w:ascii="Times New Roman" w:hAnsi="Times New Roman" w:eastAsia="仿宋_GB2312"/>
          <w:snapToGrid w:val="0"/>
          <w:spacing w:val="0"/>
          <w:kern w:val="21"/>
          <w:sz w:val="32"/>
          <w:szCs w:val="32"/>
        </w:rPr>
      </w:pPr>
      <w:r>
        <w:rPr>
          <w:rFonts w:hint="eastAsia" w:ascii="黑体" w:hAnsi="黑体" w:eastAsia="黑体"/>
          <w:spacing w:val="0"/>
          <w:kern w:val="21"/>
          <w:sz w:val="32"/>
          <w:szCs w:val="32"/>
          <w:lang w:val="en-US" w:eastAsia="zh-CN"/>
        </w:rPr>
        <w:t>三、</w:t>
      </w:r>
      <w:r>
        <w:rPr>
          <w:rFonts w:hint="eastAsia" w:ascii="黑体" w:hAnsi="黑体" w:eastAsia="黑体"/>
          <w:spacing w:val="0"/>
          <w:kern w:val="21"/>
          <w:sz w:val="32"/>
          <w:szCs w:val="32"/>
        </w:rPr>
        <w:t>整体支出绩效情况</w:t>
      </w:r>
    </w:p>
    <w:p w14:paraId="0D388C55">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firstLine="631" w:firstLineChars="150"/>
        <w:jc w:val="both"/>
        <w:textAlignment w:val="auto"/>
        <w:rPr>
          <w:rFonts w:ascii="Times New Roman" w:hAnsi="Times New Roman" w:eastAsia="仿宋_GB2312"/>
          <w:snapToGrid w:val="0"/>
          <w:color w:val="000000" w:themeColor="text1"/>
          <w:spacing w:val="0"/>
          <w:kern w:val="21"/>
          <w:sz w:val="32"/>
          <w:szCs w:val="32"/>
        </w:rPr>
      </w:pPr>
      <w:r>
        <w:rPr>
          <w:rFonts w:hint="eastAsia" w:ascii="Times New Roman" w:hAnsi="Times New Roman" w:eastAsia="楷体_GB2312"/>
          <w:b/>
          <w:bCs/>
          <w:snapToGrid w:val="0"/>
          <w:color w:val="000000" w:themeColor="text1"/>
          <w:spacing w:val="0"/>
          <w:kern w:val="21"/>
          <w:sz w:val="32"/>
          <w:szCs w:val="32"/>
          <w:lang w:val="en-US" w:eastAsia="zh-CN"/>
        </w:rPr>
        <w:t>（一）</w:t>
      </w:r>
      <w:r>
        <w:rPr>
          <w:rFonts w:ascii="Times New Roman" w:hAnsi="Times New Roman" w:eastAsia="楷体_GB2312"/>
          <w:b/>
          <w:bCs/>
          <w:snapToGrid w:val="0"/>
          <w:color w:val="000000" w:themeColor="text1"/>
          <w:spacing w:val="0"/>
          <w:kern w:val="21"/>
          <w:sz w:val="32"/>
          <w:szCs w:val="32"/>
        </w:rPr>
        <w:t>紧盯为民惠民，基本公共卫生服务提质增效。</w:t>
      </w:r>
      <w:r>
        <w:rPr>
          <w:rFonts w:ascii="Times New Roman" w:hAnsi="Times New Roman" w:eastAsia="仿宋_GB2312"/>
          <w:snapToGrid w:val="0"/>
          <w:color w:val="000000" w:themeColor="text1"/>
          <w:spacing w:val="0"/>
          <w:kern w:val="21"/>
          <w:sz w:val="32"/>
          <w:szCs w:val="32"/>
        </w:rPr>
        <w:t>全面建成5大急危重症救治中心和5大县域医学中心，护理、检验、超声诊断、儿科、妇产科等9个县级医疗质量控制中心运行良好。持续强化医疗救治资源扩容增量，全县共设置发热门诊/诊室19个，均实现规范化管理，做到应开尽开。落实重症救治能力提升项目，总投资400万元的县人民医院重症患者医疗救治能力提升建设项目建成投运，设置重症救治床位10张，重症设施设备121台套，组建以县级公立医院为核心，乡镇卫生院为组建单位的县域医共体2个，带动9家乡镇卫生院、社区卫生服务中心标准化建设和能力提升</w:t>
      </w:r>
      <w:r>
        <w:rPr>
          <w:rFonts w:hint="eastAsia" w:ascii="Times New Roman" w:hAnsi="Times New Roman" w:eastAsia="仿宋_GB2312"/>
          <w:snapToGrid w:val="0"/>
          <w:color w:val="000000" w:themeColor="text1"/>
          <w:spacing w:val="0"/>
          <w:kern w:val="21"/>
          <w:sz w:val="32"/>
          <w:szCs w:val="32"/>
          <w:lang w:eastAsia="zh-CN"/>
        </w:rPr>
        <w:t>，</w:t>
      </w:r>
      <w:r>
        <w:rPr>
          <w:rFonts w:ascii="Times New Roman" w:hAnsi="Times New Roman" w:eastAsia="仿宋_GB2312"/>
          <w:snapToGrid w:val="0"/>
          <w:color w:val="000000" w:themeColor="text1"/>
          <w:spacing w:val="0"/>
          <w:kern w:val="21"/>
          <w:sz w:val="32"/>
          <w:szCs w:val="32"/>
        </w:rPr>
        <w:t>为城乡群众提供多层次、多样化、高水平、高质量的医疗卫生服务，提升全县整体医疗质量和服务水平。每个乡镇至少设立1名执业（助理）医师，万人以上乡镇卫生院配备心电图、彩超、DR等基本医疗设备，94所村卫生室配备诊查床、听诊器、血压计等医疗设施，常用药物配备均达80种以上，</w:t>
      </w:r>
      <w:r>
        <w:rPr>
          <w:rFonts w:hint="eastAsia" w:ascii="Times New Roman" w:hAnsi="Times New Roman" w:eastAsia="仿宋_GB2312"/>
          <w:snapToGrid w:val="0"/>
          <w:color w:val="000000" w:themeColor="text1"/>
          <w:spacing w:val="0"/>
          <w:kern w:val="21"/>
          <w:sz w:val="32"/>
          <w:szCs w:val="32"/>
          <w:lang w:eastAsia="zh-CN"/>
        </w:rPr>
        <w:t>为</w:t>
      </w:r>
      <w:r>
        <w:rPr>
          <w:rFonts w:ascii="Times New Roman" w:hAnsi="Times New Roman" w:eastAsia="仿宋_GB2312"/>
          <w:snapToGrid w:val="0"/>
          <w:color w:val="000000" w:themeColor="text1"/>
          <w:spacing w:val="0"/>
          <w:kern w:val="21"/>
          <w:sz w:val="32"/>
          <w:szCs w:val="32"/>
        </w:rPr>
        <w:t>不断提升县域医疗卫生健康服务能力，接续推进乡村振兴提供更加坚实的健康保障。</w:t>
      </w:r>
    </w:p>
    <w:p w14:paraId="30CE438D">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after="0" w:line="587" w:lineRule="exact"/>
        <w:ind w:firstLine="421" w:firstLineChars="100"/>
        <w:jc w:val="both"/>
        <w:textAlignment w:val="auto"/>
        <w:rPr>
          <w:rFonts w:hint="eastAsia" w:ascii="Times New Roman" w:hAnsi="Times New Roman" w:eastAsia="仿宋_GB2312" w:cs="仿宋_GB2312"/>
          <w:snapToGrid w:val="0"/>
          <w:color w:val="000000" w:themeColor="text1"/>
          <w:spacing w:val="0"/>
          <w:kern w:val="21"/>
          <w:sz w:val="32"/>
          <w:szCs w:val="32"/>
          <w:lang w:val="en-US" w:eastAsia="zh-CN"/>
        </w:rPr>
      </w:pPr>
      <w:r>
        <w:rPr>
          <w:rFonts w:ascii="Times New Roman" w:hAnsi="Times New Roman" w:eastAsia="楷体_GB2312"/>
          <w:b/>
          <w:bCs/>
          <w:snapToGrid w:val="0"/>
          <w:color w:val="000000" w:themeColor="text1"/>
          <w:spacing w:val="0"/>
          <w:kern w:val="21"/>
          <w:sz w:val="32"/>
          <w:szCs w:val="32"/>
        </w:rPr>
        <w:t>（</w:t>
      </w:r>
      <w:r>
        <w:rPr>
          <w:rFonts w:hint="eastAsia" w:ascii="Times New Roman" w:hAnsi="Times New Roman" w:eastAsia="楷体_GB2312"/>
          <w:b/>
          <w:bCs/>
          <w:snapToGrid w:val="0"/>
          <w:color w:val="000000" w:themeColor="text1"/>
          <w:spacing w:val="0"/>
          <w:kern w:val="21"/>
          <w:sz w:val="32"/>
          <w:szCs w:val="32"/>
          <w:lang w:eastAsia="zh-CN"/>
        </w:rPr>
        <w:t>二</w:t>
      </w:r>
      <w:r>
        <w:rPr>
          <w:rFonts w:ascii="Times New Roman" w:hAnsi="Times New Roman" w:eastAsia="楷体_GB2312"/>
          <w:b/>
          <w:bCs/>
          <w:snapToGrid w:val="0"/>
          <w:color w:val="000000" w:themeColor="text1"/>
          <w:spacing w:val="0"/>
          <w:kern w:val="21"/>
          <w:sz w:val="32"/>
          <w:szCs w:val="32"/>
        </w:rPr>
        <w:t>）坚持项目引领，基础设施建设成效显著。</w:t>
      </w:r>
      <w:r>
        <w:rPr>
          <w:rFonts w:ascii="Times New Roman" w:hAnsi="Times New Roman" w:eastAsia="仿宋_GB2312"/>
          <w:snapToGrid w:val="0"/>
          <w:color w:val="000000" w:themeColor="text1"/>
          <w:spacing w:val="0"/>
          <w:kern w:val="21"/>
          <w:sz w:val="32"/>
          <w:szCs w:val="32"/>
        </w:rPr>
        <w:t>以项目建设作为整合医疗资源、优化医疗环境、提升医疗质量的发力点，全面提升县域内综合医疗服务能力。总投资6109.32万元的县医疗应急救治能力提升建设项目已全面完成。县中医康复疗养中心建设项目正全力推进。谋划的山丹县公立普惠托育机构建设项目、山丹县疾病预防控制与卫生应急处置中心建设项目、山丹县中医医院中医特色优势专科建设项目正在办理各项前期手续，积极争取项目资金支持。引进“乡村振兴慢病药物援助”项目1项，为全县45岁以上患有中老年慢性病低收入人群捐赠价值100万元的高血脂、高血压、心脑血管病等药品。总投资200万元的县域医疗次中心建设项目落户山丹。引资1500万元年产600kg绒促性素粗品项目、美丽乡村整县屋顶分布式光伏项目稳步推进。</w:t>
      </w:r>
      <w:r>
        <w:rPr>
          <w:rFonts w:hint="eastAsia" w:ascii="Times New Roman" w:hAnsi="Times New Roman" w:eastAsia="仿宋_GB2312" w:cs="仿宋_GB2312"/>
          <w:snapToGrid w:val="0"/>
          <w:color w:val="000000" w:themeColor="text1"/>
          <w:spacing w:val="0"/>
          <w:kern w:val="21"/>
          <w:sz w:val="32"/>
          <w:szCs w:val="32"/>
          <w:lang w:val="en-US" w:eastAsia="zh-CN"/>
        </w:rPr>
        <w:t xml:space="preserve"> </w:t>
      </w:r>
    </w:p>
    <w:p w14:paraId="2A7D9200">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snapToGrid w:val="0"/>
          <w:spacing w:val="0"/>
          <w:kern w:val="21"/>
          <w:sz w:val="32"/>
          <w:szCs w:val="32"/>
          <w:lang w:val="en-US" w:eastAsia="zh-CN"/>
        </w:rPr>
      </w:pPr>
      <w:r>
        <w:rPr>
          <w:rFonts w:hint="eastAsia" w:ascii="Times New Roman" w:hAnsi="Times New Roman" w:eastAsia="黑体"/>
          <w:snapToGrid w:val="0"/>
          <w:spacing w:val="0"/>
          <w:kern w:val="21"/>
          <w:sz w:val="32"/>
          <w:szCs w:val="32"/>
        </w:rPr>
        <w:t>四、存在的问题</w:t>
      </w:r>
    </w:p>
    <w:p w14:paraId="7C6D20DC">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snapToGrid w:val="0"/>
          <w:color w:val="000000"/>
          <w:spacing w:val="0"/>
          <w:kern w:val="21"/>
          <w:sz w:val="32"/>
          <w:szCs w:val="32"/>
        </w:rPr>
      </w:pPr>
      <w:r>
        <w:rPr>
          <w:rFonts w:hint="eastAsia" w:ascii="Times New Roman" w:hAnsi="Times New Roman" w:eastAsia="楷体_GB2312"/>
          <w:b/>
          <w:bCs w:val="0"/>
          <w:snapToGrid w:val="0"/>
          <w:spacing w:val="0"/>
          <w:kern w:val="21"/>
          <w:sz w:val="32"/>
          <w:szCs w:val="32"/>
          <w:lang w:val="en-US" w:eastAsia="zh-CN"/>
        </w:rPr>
        <w:t>（一）医疗卫生资源配置不够均衡。</w:t>
      </w:r>
      <w:r>
        <w:rPr>
          <w:rFonts w:hint="eastAsia" w:ascii="Times New Roman" w:hAnsi="Times New Roman" w:eastAsia="仿宋_GB2312" w:cs="仿宋_GB2312"/>
          <w:snapToGrid w:val="0"/>
          <w:color w:val="000000"/>
          <w:spacing w:val="0"/>
          <w:kern w:val="21"/>
          <w:sz w:val="32"/>
          <w:szCs w:val="32"/>
        </w:rPr>
        <w:t>城乡之间卫生事业发展不平衡，医疗与预防保健之间、中医与西医之间发展不协调。民营医疗机构发展滞后，缺少有效竞争。公共卫生体系基础较为薄弱，缺乏专业人才。各部门间的应急配合衔接不及时，程序不流畅，突发公共卫生事件及时有效处理的协调机制还需进一步健全完善。</w:t>
      </w:r>
    </w:p>
    <w:p w14:paraId="349EE3EB">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snapToGrid w:val="0"/>
          <w:color w:val="000000"/>
          <w:spacing w:val="0"/>
          <w:kern w:val="21"/>
          <w:sz w:val="32"/>
          <w:szCs w:val="32"/>
        </w:rPr>
      </w:pPr>
      <w:r>
        <w:rPr>
          <w:rFonts w:hint="eastAsia" w:ascii="Times New Roman" w:hAnsi="Times New Roman" w:eastAsia="楷体_GB2312"/>
          <w:b/>
          <w:bCs w:val="0"/>
          <w:snapToGrid w:val="0"/>
          <w:spacing w:val="0"/>
          <w:kern w:val="21"/>
          <w:sz w:val="32"/>
          <w:szCs w:val="32"/>
          <w:lang w:val="en-US" w:eastAsia="zh-CN"/>
        </w:rPr>
        <w:t>（二）人才队伍建设相对滞后</w:t>
      </w:r>
      <w:r>
        <w:rPr>
          <w:rFonts w:hint="eastAsia" w:ascii="Times New Roman" w:hAnsi="Times New Roman" w:eastAsia="楷体_GB2312" w:cs="楷体_GB2312"/>
          <w:b/>
          <w:bCs/>
          <w:snapToGrid w:val="0"/>
          <w:spacing w:val="0"/>
          <w:kern w:val="21"/>
          <w:sz w:val="32"/>
          <w:szCs w:val="32"/>
        </w:rPr>
        <w:t>。</w:t>
      </w:r>
      <w:r>
        <w:rPr>
          <w:rFonts w:hint="eastAsia" w:ascii="Times New Roman" w:hAnsi="Times New Roman" w:eastAsia="仿宋_GB2312" w:cs="仿宋_GB2312"/>
          <w:snapToGrid w:val="0"/>
          <w:color w:val="000000"/>
          <w:spacing w:val="0"/>
          <w:kern w:val="21"/>
          <w:sz w:val="32"/>
          <w:szCs w:val="32"/>
        </w:rPr>
        <w:t>二级以上医疗机构高、精、尖卫生技术人才团队缺乏的现状还未从根本上改变，优秀医学院校毕业生招不来、下不去、留不住的现象比较突出，乡村两级卫生专业人才断档严重，新老更新不及时，总体专业素质和专业水平偏低，无法满足全县卫生健康事业高质量发展需求。</w:t>
      </w:r>
    </w:p>
    <w:p w14:paraId="36CC2883">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snapToGrid w:val="0"/>
          <w:spacing w:val="0"/>
          <w:kern w:val="21"/>
          <w:sz w:val="32"/>
          <w:szCs w:val="32"/>
        </w:rPr>
      </w:pPr>
      <w:r>
        <w:rPr>
          <w:rFonts w:hint="eastAsia" w:ascii="Times New Roman" w:hAnsi="Times New Roman" w:eastAsia="楷体_GB2312"/>
          <w:b/>
          <w:bCs w:val="0"/>
          <w:snapToGrid w:val="0"/>
          <w:spacing w:val="0"/>
          <w:kern w:val="21"/>
          <w:sz w:val="32"/>
          <w:szCs w:val="32"/>
          <w:lang w:val="en-US" w:eastAsia="zh-CN"/>
        </w:rPr>
        <w:t>（三）医保政策衔接配套不到位。</w:t>
      </w:r>
      <w:r>
        <w:rPr>
          <w:rFonts w:hint="eastAsia" w:ascii="Times New Roman" w:hAnsi="Times New Roman" w:eastAsia="仿宋_GB2312" w:cs="仿宋_GB2312"/>
          <w:snapToGrid w:val="0"/>
          <w:spacing w:val="0"/>
          <w:kern w:val="21"/>
          <w:sz w:val="32"/>
          <w:szCs w:val="32"/>
        </w:rPr>
        <w:t>随着群众就医需求的不断增加，加之我县各医疗机构均实行“先诊疗、后付费”制度，导致医保资金超支情况严重，在医保资金总额控制的情况下，住院病人不能即时结报，导致了新的医患矛盾产生。</w:t>
      </w:r>
    </w:p>
    <w:p w14:paraId="52FE2903">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snapToGrid w:val="0"/>
          <w:spacing w:val="0"/>
          <w:kern w:val="21"/>
          <w:sz w:val="32"/>
          <w:szCs w:val="32"/>
        </w:rPr>
      </w:pPr>
      <w:r>
        <w:rPr>
          <w:rFonts w:hint="eastAsia" w:ascii="Times New Roman" w:hAnsi="Times New Roman" w:eastAsia="楷体_GB2312"/>
          <w:b/>
          <w:bCs w:val="0"/>
          <w:snapToGrid w:val="0"/>
          <w:spacing w:val="0"/>
          <w:kern w:val="21"/>
          <w:sz w:val="32"/>
          <w:szCs w:val="32"/>
          <w:lang w:val="en-US" w:eastAsia="zh-CN"/>
        </w:rPr>
        <w:t>（四）中医药服务能力仍需进一步提升</w:t>
      </w:r>
      <w:r>
        <w:rPr>
          <w:rFonts w:hint="eastAsia" w:ascii="Times New Roman" w:hAnsi="Times New Roman" w:eastAsia="楷体_GB2312" w:cs="楷体_GB2312"/>
          <w:b/>
          <w:bCs/>
          <w:snapToGrid w:val="0"/>
          <w:spacing w:val="0"/>
          <w:kern w:val="21"/>
          <w:sz w:val="32"/>
          <w:szCs w:val="32"/>
        </w:rPr>
        <w:t>。</w:t>
      </w:r>
      <w:r>
        <w:rPr>
          <w:rFonts w:hint="eastAsia" w:ascii="Times New Roman" w:hAnsi="Times New Roman" w:eastAsia="仿宋_GB2312" w:cs="仿宋_GB2312"/>
          <w:snapToGrid w:val="0"/>
          <w:spacing w:val="0"/>
          <w:kern w:val="21"/>
          <w:sz w:val="32"/>
          <w:szCs w:val="32"/>
        </w:rPr>
        <w:t>全县中医特色优势专科建设成效不高，具有丰富实践经验、在业内有较高声誉的中医药人才严重缺乏，中医治未病服务能力、中西医结合临床协作能力不够，中医药防病治病作用发挥不好。</w:t>
      </w:r>
    </w:p>
    <w:p w14:paraId="552AE7B0">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黑体"/>
          <w:snapToGrid w:val="0"/>
          <w:spacing w:val="0"/>
          <w:kern w:val="21"/>
          <w:sz w:val="32"/>
          <w:szCs w:val="32"/>
        </w:rPr>
      </w:pPr>
      <w:r>
        <w:rPr>
          <w:rFonts w:hint="eastAsia" w:ascii="Times New Roman" w:hAnsi="Times New Roman" w:eastAsia="黑体"/>
          <w:snapToGrid w:val="0"/>
          <w:spacing w:val="0"/>
          <w:kern w:val="21"/>
          <w:sz w:val="32"/>
          <w:szCs w:val="32"/>
        </w:rPr>
        <w:t>五、下一步改进工作的措施</w:t>
      </w:r>
    </w:p>
    <w:p w14:paraId="1E1C9026">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cs="仿宋_GB2312"/>
          <w:b w:val="0"/>
          <w:bCs/>
          <w:snapToGrid w:val="0"/>
          <w:spacing w:val="0"/>
          <w:kern w:val="21"/>
          <w:sz w:val="32"/>
          <w:szCs w:val="32"/>
          <w:lang w:val="en-US" w:eastAsia="zh-CN"/>
        </w:rPr>
      </w:pPr>
      <w:r>
        <w:rPr>
          <w:rFonts w:hint="eastAsia" w:ascii="Times New Roman" w:hAnsi="Times New Roman" w:eastAsia="仿宋_GB2312"/>
          <w:snapToGrid w:val="0"/>
          <w:spacing w:val="0"/>
          <w:kern w:val="21"/>
          <w:sz w:val="32"/>
          <w:szCs w:val="32"/>
        </w:rPr>
        <w:t>下一步，我们将</w:t>
      </w:r>
      <w:r>
        <w:rPr>
          <w:rFonts w:hint="eastAsia" w:ascii="Times New Roman" w:hAnsi="Times New Roman" w:eastAsia="仿宋_GB2312" w:cs="仿宋_GB2312"/>
          <w:b w:val="0"/>
          <w:bCs/>
          <w:snapToGrid w:val="0"/>
          <w:spacing w:val="0"/>
          <w:kern w:val="21"/>
          <w:sz w:val="32"/>
          <w:szCs w:val="32"/>
          <w:lang w:val="en-US" w:eastAsia="zh-CN"/>
        </w:rPr>
        <w:t>全面贯彻落实党的二十大精神，深入贯彻落实习近平总书记对甘肃重要讲话和指示精神，紧紧围绕县委县政府总体工作部署，踔厉奋发、笃行不怠，埋头苦干、勇毅前行，以起步就是冲刺，开局就是决战的决心和勇气，</w:t>
      </w:r>
      <w:r>
        <w:rPr>
          <w:rFonts w:hint="eastAsia" w:ascii="Times New Roman" w:hAnsi="Times New Roman" w:eastAsia="仿宋_GB2312"/>
          <w:snapToGrid w:val="0"/>
          <w:spacing w:val="0"/>
          <w:kern w:val="21"/>
          <w:sz w:val="32"/>
          <w:szCs w:val="32"/>
        </w:rPr>
        <w:t>进一步</w:t>
      </w:r>
      <w:r>
        <w:rPr>
          <w:rFonts w:ascii="Times New Roman" w:hAnsi="Times New Roman" w:eastAsia="仿宋_GB2312"/>
          <w:snapToGrid w:val="0"/>
          <w:spacing w:val="0"/>
          <w:kern w:val="21"/>
          <w:sz w:val="32"/>
          <w:szCs w:val="32"/>
        </w:rPr>
        <w:t>补短板、强弱项，</w:t>
      </w:r>
      <w:r>
        <w:rPr>
          <w:rFonts w:hint="eastAsia" w:ascii="Times New Roman" w:hAnsi="Times New Roman" w:eastAsia="仿宋_GB2312" w:cs="仿宋_GB2312"/>
          <w:b w:val="0"/>
          <w:bCs/>
          <w:snapToGrid w:val="0"/>
          <w:spacing w:val="0"/>
          <w:kern w:val="21"/>
          <w:sz w:val="32"/>
          <w:szCs w:val="32"/>
          <w:lang w:val="en-US" w:eastAsia="zh-CN"/>
        </w:rPr>
        <w:t>持续推动全县卫生健康事业高质量发展。</w:t>
      </w:r>
    </w:p>
    <w:p w14:paraId="0C73F420">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snapToGrid w:val="0"/>
          <w:spacing w:val="0"/>
          <w:kern w:val="21"/>
          <w:sz w:val="32"/>
          <w:szCs w:val="32"/>
        </w:rPr>
      </w:pPr>
      <w:r>
        <w:rPr>
          <w:rFonts w:hint="eastAsia" w:ascii="Times New Roman" w:hAnsi="Times New Roman" w:eastAsia="仿宋_GB2312"/>
          <w:b/>
          <w:bCs/>
          <w:snapToGrid w:val="0"/>
          <w:spacing w:val="0"/>
          <w:kern w:val="21"/>
          <w:sz w:val="32"/>
          <w:szCs w:val="32"/>
          <w:lang w:eastAsia="zh-CN"/>
        </w:rPr>
        <w:t>一是</w:t>
      </w:r>
      <w:r>
        <w:rPr>
          <w:rFonts w:hint="eastAsia" w:ascii="Times New Roman" w:hAnsi="Times New Roman" w:eastAsia="仿宋_GB2312"/>
          <w:snapToGrid w:val="0"/>
          <w:spacing w:val="0"/>
          <w:kern w:val="21"/>
          <w:sz w:val="32"/>
          <w:szCs w:val="32"/>
        </w:rPr>
        <w:t>科学合理编制预算，严格执行预算</w:t>
      </w:r>
      <w:r>
        <w:rPr>
          <w:rFonts w:hint="eastAsia" w:ascii="Times New Roman" w:hAnsi="Times New Roman" w:eastAsia="仿宋_GB2312"/>
          <w:snapToGrid w:val="0"/>
          <w:spacing w:val="0"/>
          <w:kern w:val="21"/>
          <w:sz w:val="32"/>
          <w:szCs w:val="32"/>
          <w:lang w:eastAsia="zh-CN"/>
        </w:rPr>
        <w:t>。</w:t>
      </w:r>
      <w:r>
        <w:rPr>
          <w:rFonts w:hint="eastAsia" w:ascii="Times New Roman" w:hAnsi="Times New Roman" w:eastAsia="仿宋_GB2312"/>
          <w:snapToGrid w:val="0"/>
          <w:spacing w:val="0"/>
          <w:kern w:val="21"/>
          <w:sz w:val="32"/>
          <w:szCs w:val="32"/>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2042B431">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snapToGrid w:val="0"/>
          <w:spacing w:val="0"/>
          <w:kern w:val="21"/>
          <w:sz w:val="32"/>
          <w:szCs w:val="32"/>
        </w:rPr>
      </w:pPr>
      <w:r>
        <w:rPr>
          <w:rFonts w:hint="eastAsia" w:ascii="Times New Roman" w:hAnsi="Times New Roman" w:eastAsia="仿宋_GB2312"/>
          <w:b/>
          <w:bCs/>
          <w:snapToGrid w:val="0"/>
          <w:spacing w:val="0"/>
          <w:kern w:val="21"/>
          <w:sz w:val="32"/>
          <w:szCs w:val="32"/>
          <w:lang w:eastAsia="zh-CN"/>
        </w:rPr>
        <w:t>二是</w:t>
      </w:r>
      <w:r>
        <w:rPr>
          <w:rFonts w:hint="eastAsia" w:ascii="Times New Roman" w:hAnsi="Times New Roman" w:eastAsia="仿宋_GB2312"/>
          <w:snapToGrid w:val="0"/>
          <w:spacing w:val="0"/>
          <w:kern w:val="21"/>
          <w:sz w:val="32"/>
          <w:szCs w:val="32"/>
          <w:lang w:eastAsia="zh-CN"/>
        </w:rPr>
        <w:t>完善管理制度，进一步加强资产管理。进一步贯彻落实中央八项规定，建立本部</w:t>
      </w:r>
      <w:bookmarkStart w:id="0" w:name="_GoBack"/>
      <w:bookmarkEnd w:id="0"/>
      <w:r>
        <w:rPr>
          <w:rFonts w:hint="eastAsia" w:ascii="Times New Roman" w:hAnsi="Times New Roman" w:eastAsia="仿宋_GB2312"/>
          <w:snapToGrid w:val="0"/>
          <w:spacing w:val="0"/>
          <w:kern w:val="21"/>
          <w:sz w:val="32"/>
          <w:szCs w:val="32"/>
          <w:lang w:eastAsia="zh-CN"/>
        </w:rPr>
        <w:t>门“三公经费”等公务支出管理制度及厉行节约制度</w:t>
      </w:r>
      <w:r>
        <w:rPr>
          <w:rFonts w:hint="eastAsia" w:ascii="Times New Roman" w:hAnsi="Times New Roman" w:eastAsia="仿宋_GB2312"/>
          <w:snapToGrid w:val="0"/>
          <w:spacing w:val="0"/>
          <w:kern w:val="21"/>
          <w:sz w:val="32"/>
          <w:szCs w:val="32"/>
        </w:rPr>
        <w:t>，加强经费审批和控制，规范支出标准与范围，并严格执行。严格按照《固定资产管理办法》的规定加强固定资产管理，及时登记、更新台账，加强资产卡片管理，年终前对各类实物资产进行全面盘点，确保账账、账实相符。</w:t>
      </w:r>
    </w:p>
    <w:p w14:paraId="6082EB97">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仿宋_GB2312"/>
          <w:snapToGrid w:val="0"/>
          <w:spacing w:val="0"/>
          <w:kern w:val="21"/>
          <w:sz w:val="32"/>
          <w:szCs w:val="32"/>
        </w:rPr>
      </w:pPr>
      <w:r>
        <w:rPr>
          <w:rFonts w:hint="eastAsia" w:ascii="Times New Roman" w:hAnsi="Times New Roman" w:eastAsia="仿宋_GB2312"/>
          <w:b/>
          <w:bCs/>
          <w:snapToGrid w:val="0"/>
          <w:spacing w:val="0"/>
          <w:kern w:val="21"/>
          <w:sz w:val="32"/>
          <w:szCs w:val="32"/>
          <w:lang w:eastAsia="zh-CN"/>
        </w:rPr>
        <w:t>三是</w:t>
      </w:r>
      <w:r>
        <w:rPr>
          <w:rFonts w:hint="eastAsia" w:ascii="Times New Roman" w:hAnsi="Times New Roman" w:eastAsia="仿宋_GB2312"/>
          <w:snapToGrid w:val="0"/>
          <w:spacing w:val="0"/>
          <w:kern w:val="21"/>
          <w:sz w:val="32"/>
          <w:szCs w:val="32"/>
        </w:rPr>
        <w:t>制定和完善基本支出、项目支出等各项支出标准，严格按项目和进度执行预算，增强预算的约束力和严肃性。</w:t>
      </w:r>
      <w:r>
        <w:rPr>
          <w:rFonts w:hint="eastAsia" w:ascii="Times New Roman" w:hAnsi="Times New Roman" w:eastAsia="仿宋_GB2312"/>
          <w:snapToGrid w:val="0"/>
          <w:spacing w:val="0"/>
          <w:kern w:val="21"/>
          <w:sz w:val="32"/>
          <w:szCs w:val="32"/>
          <w:lang w:eastAsia="zh-CN"/>
        </w:rPr>
        <w:t>同时</w:t>
      </w:r>
      <w:r>
        <w:rPr>
          <w:rFonts w:hint="eastAsia" w:ascii="Times New Roman" w:hAnsi="Times New Roman" w:eastAsia="仿宋_GB2312"/>
          <w:snapToGrid w:val="0"/>
          <w:spacing w:val="0"/>
          <w:kern w:val="21"/>
          <w:sz w:val="32"/>
          <w:szCs w:val="32"/>
        </w:rPr>
        <w:t>落实</w:t>
      </w:r>
      <w:r>
        <w:rPr>
          <w:rFonts w:hint="eastAsia" w:ascii="Times New Roman" w:hAnsi="Times New Roman" w:eastAsia="仿宋_GB2312"/>
          <w:snapToGrid w:val="0"/>
          <w:spacing w:val="0"/>
          <w:kern w:val="21"/>
          <w:sz w:val="32"/>
          <w:szCs w:val="32"/>
          <w:lang w:eastAsia="zh-CN"/>
        </w:rPr>
        <w:t>好</w:t>
      </w:r>
      <w:r>
        <w:rPr>
          <w:rFonts w:hint="eastAsia" w:ascii="Times New Roman" w:hAnsi="Times New Roman" w:eastAsia="仿宋_GB2312"/>
          <w:snapToGrid w:val="0"/>
          <w:spacing w:val="0"/>
          <w:kern w:val="21"/>
          <w:sz w:val="32"/>
          <w:szCs w:val="32"/>
        </w:rPr>
        <w:t>预算执行分析，及时了解预算执行差异，合理调整、纠正预算执行偏差，切实提高部门预算收支管理水平。</w:t>
      </w:r>
    </w:p>
    <w:p w14:paraId="685C5B13">
      <w:pPr>
        <w:keepNext w:val="0"/>
        <w:keepLines w:val="0"/>
        <w:pageBreakBefore w:val="0"/>
        <w:widowControl w:val="0"/>
        <w:numPr>
          <w:ilvl w:val="0"/>
          <w:numId w:val="1"/>
        </w:numPr>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Times New Roman" w:hAnsi="Times New Roman" w:eastAsia="黑体"/>
          <w:snapToGrid w:val="0"/>
          <w:spacing w:val="0"/>
          <w:kern w:val="21"/>
          <w:sz w:val="32"/>
          <w:szCs w:val="32"/>
        </w:rPr>
      </w:pPr>
      <w:r>
        <w:rPr>
          <w:rFonts w:hint="eastAsia" w:ascii="Times New Roman" w:hAnsi="Times New Roman" w:eastAsia="黑体"/>
          <w:snapToGrid w:val="0"/>
          <w:spacing w:val="0"/>
          <w:kern w:val="21"/>
          <w:sz w:val="32"/>
          <w:szCs w:val="32"/>
        </w:rPr>
        <w:t>意见建议</w:t>
      </w:r>
    </w:p>
    <w:p w14:paraId="3736B7CD">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snapToGrid/>
        <w:spacing w:line="587" w:lineRule="exact"/>
        <w:ind w:firstLine="631" w:firstLineChars="150"/>
        <w:textAlignment w:val="auto"/>
        <w:rPr>
          <w:rFonts w:hint="eastAsia" w:ascii="仿宋_GB2312" w:eastAsia="仿宋_GB2312"/>
          <w:spacing w:val="0"/>
          <w:kern w:val="21"/>
          <w:sz w:val="32"/>
          <w:szCs w:val="32"/>
          <w:lang w:eastAsia="zh-CN"/>
        </w:rPr>
      </w:pPr>
      <w:r>
        <w:rPr>
          <w:rFonts w:hint="eastAsia" w:ascii="仿宋_GB2312" w:eastAsia="仿宋_GB2312"/>
          <w:spacing w:val="0"/>
          <w:kern w:val="21"/>
          <w:sz w:val="32"/>
          <w:szCs w:val="32"/>
          <w:lang w:eastAsia="zh-CN"/>
        </w:rPr>
        <w:t>无</w:t>
      </w:r>
    </w:p>
    <w:p w14:paraId="5B6467E4">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600" w:lineRule="exact"/>
        <w:ind w:firstLine="842" w:firstLineChars="200"/>
        <w:textAlignment w:val="auto"/>
        <w:rPr>
          <w:rFonts w:hint="eastAsia" w:ascii="仿宋_GB2312" w:eastAsia="仿宋_GB2312"/>
          <w:spacing w:val="0"/>
          <w:sz w:val="32"/>
          <w:szCs w:val="32"/>
          <w:lang w:eastAsia="zh-CN"/>
        </w:rPr>
      </w:pPr>
    </w:p>
    <w:p w14:paraId="0E33858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600" w:lineRule="exact"/>
        <w:ind w:firstLine="842" w:firstLineChars="200"/>
        <w:textAlignment w:val="auto"/>
        <w:rPr>
          <w:rFonts w:hint="eastAsia" w:ascii="仿宋_GB2312" w:eastAsia="仿宋_GB2312"/>
          <w:spacing w:val="0"/>
          <w:sz w:val="32"/>
          <w:szCs w:val="32"/>
          <w:lang w:eastAsia="zh-CN"/>
        </w:rPr>
      </w:pPr>
    </w:p>
    <w:p w14:paraId="4F9771B2">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600" w:lineRule="exact"/>
        <w:ind w:firstLine="842" w:firstLineChars="200"/>
        <w:textAlignment w:val="auto"/>
        <w:rPr>
          <w:rFonts w:hint="eastAsia" w:ascii="仿宋_GB2312" w:eastAsia="仿宋_GB2312"/>
          <w:spacing w:val="0"/>
          <w:sz w:val="32"/>
          <w:szCs w:val="32"/>
          <w:lang w:eastAsia="zh-CN"/>
        </w:rPr>
      </w:pPr>
    </w:p>
    <w:p w14:paraId="6D080317">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600" w:lineRule="exact"/>
        <w:ind w:firstLine="842" w:firstLineChars="200"/>
        <w:textAlignment w:val="auto"/>
        <w:rPr>
          <w:rFonts w:hint="eastAsia" w:ascii="仿宋_GB2312" w:eastAsia="仿宋_GB2312"/>
          <w:snapToGrid w:val="0"/>
          <w:spacing w:val="0"/>
          <w:sz w:val="32"/>
          <w:szCs w:val="32"/>
          <w:lang w:val="en-US" w:eastAsia="zh-CN"/>
        </w:rPr>
      </w:pPr>
      <w:r>
        <w:rPr>
          <w:rFonts w:hint="eastAsia" w:ascii="仿宋_GB2312" w:eastAsia="仿宋_GB2312"/>
          <w:spacing w:val="0"/>
          <w:sz w:val="32"/>
          <w:szCs w:val="32"/>
          <w:lang w:val="en-US" w:eastAsia="zh-CN"/>
        </w:rPr>
        <w:t xml:space="preserve">                </w:t>
      </w:r>
      <w:r>
        <w:rPr>
          <w:rFonts w:hint="eastAsia" w:ascii="仿宋_GB2312" w:eastAsia="仿宋_GB2312"/>
          <w:snapToGrid w:val="0"/>
          <w:spacing w:val="0"/>
          <w:sz w:val="32"/>
          <w:szCs w:val="32"/>
          <w:lang w:val="en-US" w:eastAsia="zh-CN"/>
        </w:rPr>
        <w:t xml:space="preserve"> 山丹县卫生健康局</w:t>
      </w:r>
    </w:p>
    <w:p w14:paraId="63B2CB89">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600" w:lineRule="exact"/>
        <w:ind w:firstLine="842" w:firstLineChars="200"/>
        <w:textAlignment w:val="auto"/>
        <w:rPr>
          <w:rFonts w:hint="default" w:ascii="仿宋_GB2312" w:eastAsia="仿宋_GB2312"/>
          <w:spacing w:val="0"/>
          <w:sz w:val="32"/>
          <w:szCs w:val="32"/>
          <w:lang w:val="en-US" w:eastAsia="zh-CN"/>
        </w:rPr>
      </w:pPr>
      <w:r>
        <w:rPr>
          <w:rFonts w:hint="eastAsia" w:ascii="仿宋_GB2312" w:eastAsia="仿宋_GB2312"/>
          <w:snapToGrid w:val="0"/>
          <w:spacing w:val="0"/>
          <w:sz w:val="32"/>
          <w:szCs w:val="32"/>
          <w:lang w:val="en-US" w:eastAsia="zh-CN"/>
        </w:rPr>
        <w:t xml:space="preserve">                      2023年12月20日</w:t>
      </w:r>
    </w:p>
    <w:p w14:paraId="5A103288"/>
    <w:p w14:paraId="48F8FE70"/>
    <w:sectPr>
      <w:pgSz w:w="11906" w:h="16838"/>
      <w:pgMar w:top="1984" w:right="1587" w:bottom="1587" w:left="1587" w:header="851" w:footer="992" w:gutter="0"/>
      <w:cols w:space="0" w:num="1"/>
      <w:rtlGutter w:val="0"/>
      <w:docGrid w:type="linesAndChars" w:linePitch="603" w:charSpace="208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136D7B"/>
    <w:multiLevelType w:val="singleLevel"/>
    <w:tmpl w:val="75136D7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56"/>
  <w:drawingGridVerticalSpacing w:val="301"/>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kNmIzZWExZWQzNjc5Y2EwZjA0YmEyNWQxNGM4ODAifQ=="/>
  </w:docVars>
  <w:rsids>
    <w:rsidRoot w:val="42C71578"/>
    <w:rsid w:val="00194BCB"/>
    <w:rsid w:val="004857A1"/>
    <w:rsid w:val="00563245"/>
    <w:rsid w:val="007D09B9"/>
    <w:rsid w:val="00897FD8"/>
    <w:rsid w:val="008D08DC"/>
    <w:rsid w:val="00AC4864"/>
    <w:rsid w:val="00CB2C4F"/>
    <w:rsid w:val="00D9012D"/>
    <w:rsid w:val="00E04AF3"/>
    <w:rsid w:val="00ED4999"/>
    <w:rsid w:val="00EE167A"/>
    <w:rsid w:val="015B3238"/>
    <w:rsid w:val="01B841E6"/>
    <w:rsid w:val="021F6013"/>
    <w:rsid w:val="030D2310"/>
    <w:rsid w:val="035D67A7"/>
    <w:rsid w:val="03652AFF"/>
    <w:rsid w:val="03D42E2E"/>
    <w:rsid w:val="05080FE1"/>
    <w:rsid w:val="059211F2"/>
    <w:rsid w:val="059E36F3"/>
    <w:rsid w:val="05C25634"/>
    <w:rsid w:val="060F45F1"/>
    <w:rsid w:val="065C5FAD"/>
    <w:rsid w:val="06C4362D"/>
    <w:rsid w:val="088C3CD7"/>
    <w:rsid w:val="095633C9"/>
    <w:rsid w:val="09840E52"/>
    <w:rsid w:val="09E10052"/>
    <w:rsid w:val="0A981059"/>
    <w:rsid w:val="0B30303F"/>
    <w:rsid w:val="0BF26547"/>
    <w:rsid w:val="0C7749D0"/>
    <w:rsid w:val="0CFA3905"/>
    <w:rsid w:val="0D7C256C"/>
    <w:rsid w:val="10727C56"/>
    <w:rsid w:val="10821B80"/>
    <w:rsid w:val="1111746F"/>
    <w:rsid w:val="117D2291"/>
    <w:rsid w:val="11951E4E"/>
    <w:rsid w:val="11A007F3"/>
    <w:rsid w:val="13893C35"/>
    <w:rsid w:val="138F2714"/>
    <w:rsid w:val="14321BD6"/>
    <w:rsid w:val="14D17667"/>
    <w:rsid w:val="15E96C0C"/>
    <w:rsid w:val="16FC296F"/>
    <w:rsid w:val="17793FC0"/>
    <w:rsid w:val="189A2440"/>
    <w:rsid w:val="18DB216A"/>
    <w:rsid w:val="1901426D"/>
    <w:rsid w:val="1A8011C2"/>
    <w:rsid w:val="1DFD483F"/>
    <w:rsid w:val="1E366767"/>
    <w:rsid w:val="1F3A5DE3"/>
    <w:rsid w:val="20651585"/>
    <w:rsid w:val="22DA5E55"/>
    <w:rsid w:val="23BF0FAD"/>
    <w:rsid w:val="23E66539"/>
    <w:rsid w:val="256B319A"/>
    <w:rsid w:val="25A93CC2"/>
    <w:rsid w:val="26DC3C24"/>
    <w:rsid w:val="2A5D507B"/>
    <w:rsid w:val="2A9E191C"/>
    <w:rsid w:val="2AE61515"/>
    <w:rsid w:val="2BF03F9A"/>
    <w:rsid w:val="2C3818FC"/>
    <w:rsid w:val="2D4367AA"/>
    <w:rsid w:val="2E3A7BAD"/>
    <w:rsid w:val="2E5C5D76"/>
    <w:rsid w:val="2E70537D"/>
    <w:rsid w:val="30A6777C"/>
    <w:rsid w:val="315A2315"/>
    <w:rsid w:val="31B00187"/>
    <w:rsid w:val="33833DA5"/>
    <w:rsid w:val="3550415A"/>
    <w:rsid w:val="360D204B"/>
    <w:rsid w:val="38B844F1"/>
    <w:rsid w:val="38D806EF"/>
    <w:rsid w:val="38E54BBA"/>
    <w:rsid w:val="39700927"/>
    <w:rsid w:val="3A080B60"/>
    <w:rsid w:val="3CDD2778"/>
    <w:rsid w:val="3ED43706"/>
    <w:rsid w:val="3F5532B7"/>
    <w:rsid w:val="3F696545"/>
    <w:rsid w:val="3FC3579F"/>
    <w:rsid w:val="40374809"/>
    <w:rsid w:val="41452699"/>
    <w:rsid w:val="42733236"/>
    <w:rsid w:val="429A4C67"/>
    <w:rsid w:val="42C71578"/>
    <w:rsid w:val="43CA157C"/>
    <w:rsid w:val="43EF2D90"/>
    <w:rsid w:val="44184095"/>
    <w:rsid w:val="46826C29"/>
    <w:rsid w:val="46A2233C"/>
    <w:rsid w:val="478B2DD0"/>
    <w:rsid w:val="48D10CB7"/>
    <w:rsid w:val="48D507A7"/>
    <w:rsid w:val="48DD3AFF"/>
    <w:rsid w:val="4AB97C54"/>
    <w:rsid w:val="4ADB7BCB"/>
    <w:rsid w:val="4B1530DD"/>
    <w:rsid w:val="4C2832E3"/>
    <w:rsid w:val="4CD46FC7"/>
    <w:rsid w:val="4DD0778F"/>
    <w:rsid w:val="4DEB45C9"/>
    <w:rsid w:val="4E473EF5"/>
    <w:rsid w:val="4F9111A0"/>
    <w:rsid w:val="4FA9473B"/>
    <w:rsid w:val="508A00C9"/>
    <w:rsid w:val="526A01B2"/>
    <w:rsid w:val="526D37FE"/>
    <w:rsid w:val="53964FD7"/>
    <w:rsid w:val="54212AF2"/>
    <w:rsid w:val="54C94F38"/>
    <w:rsid w:val="54F9581D"/>
    <w:rsid w:val="57715B3F"/>
    <w:rsid w:val="57DE0CFA"/>
    <w:rsid w:val="585F62DF"/>
    <w:rsid w:val="594D6137"/>
    <w:rsid w:val="5C0A4245"/>
    <w:rsid w:val="5CF60894"/>
    <w:rsid w:val="617526CF"/>
    <w:rsid w:val="64986E00"/>
    <w:rsid w:val="65402FF4"/>
    <w:rsid w:val="658161E3"/>
    <w:rsid w:val="660961CF"/>
    <w:rsid w:val="66507267"/>
    <w:rsid w:val="665946A0"/>
    <w:rsid w:val="672506F4"/>
    <w:rsid w:val="68307350"/>
    <w:rsid w:val="687F3E33"/>
    <w:rsid w:val="6A7379C8"/>
    <w:rsid w:val="6B7227C5"/>
    <w:rsid w:val="6B996BB0"/>
    <w:rsid w:val="6C303DC2"/>
    <w:rsid w:val="6E2959E7"/>
    <w:rsid w:val="6E5D69C5"/>
    <w:rsid w:val="6EAD16FA"/>
    <w:rsid w:val="6F141779"/>
    <w:rsid w:val="72EB27F1"/>
    <w:rsid w:val="777803CC"/>
    <w:rsid w:val="78085BF3"/>
    <w:rsid w:val="7A266805"/>
    <w:rsid w:val="7A5F108D"/>
    <w:rsid w:val="7B4E7DC1"/>
    <w:rsid w:val="7B89704B"/>
    <w:rsid w:val="7D6349FD"/>
    <w:rsid w:val="7F9D1317"/>
    <w:rsid w:val="7FCE14D1"/>
    <w:rsid w:val="7FE94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line="480" w:lineRule="auto"/>
      <w:ind w:left="420" w:leftChars="200"/>
    </w:p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页眉 Char"/>
    <w:basedOn w:val="7"/>
    <w:link w:val="4"/>
    <w:autoRedefine/>
    <w:qFormat/>
    <w:uiPriority w:val="0"/>
    <w:rPr>
      <w:rFonts w:ascii="Calibri"/>
      <w:kern w:val="2"/>
      <w:sz w:val="18"/>
      <w:szCs w:val="18"/>
    </w:rPr>
  </w:style>
  <w:style w:type="character" w:customStyle="1" w:styleId="10">
    <w:name w:val="页脚 Char"/>
    <w:basedOn w:val="7"/>
    <w:link w:val="3"/>
    <w:autoRedefine/>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5726</Words>
  <Characters>5919</Characters>
  <Lines>1</Lines>
  <Paragraphs>1</Paragraphs>
  <TotalTime>21</TotalTime>
  <ScaleCrop>false</ScaleCrop>
  <LinksUpToDate>false</LinksUpToDate>
  <CharactersWithSpaces>5960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2018-03-23T02:40:00Z</dcterms:created>
  <dc:creator>散步的鱼</dc:creator>
  <cp:lastModifiedBy>Administrator</cp:lastModifiedBy>
  <cp:lastPrinted>2024-01-05T01:06:00Z</cp:lastPrinted>
  <dcterms:modified xsi:type="dcterms:W3CDTF">2024-08-19T06:45:13Z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3D95F5A8611A4BE9969E9383E374FE4F_12</vt:lpwstr>
  </property>
</Properties>
</file>