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1760" w:firstLineChars="400"/>
        <w:jc w:val="both"/>
        <w:textAlignment w:val="auto"/>
        <w:rPr>
          <w:rFonts w:hint="eastAsia" w:ascii="方正小标宋简体" w:eastAsia="方正小标宋简体"/>
          <w:sz w:val="44"/>
          <w:szCs w:val="44"/>
        </w:rPr>
      </w:pPr>
      <w:r>
        <w:rPr>
          <w:rFonts w:hint="eastAsia" w:ascii="方正小标宋简体" w:eastAsia="方正小标宋简体"/>
          <w:sz w:val="44"/>
          <w:szCs w:val="44"/>
        </w:rPr>
        <w:t>全</w:t>
      </w:r>
      <w:r>
        <w:rPr>
          <w:rFonts w:hint="eastAsia" w:ascii="方正小标宋简体" w:eastAsia="方正小标宋简体"/>
          <w:sz w:val="44"/>
          <w:szCs w:val="44"/>
          <w:lang w:eastAsia="zh-CN"/>
        </w:rPr>
        <w:t>县干部体检费</w:t>
      </w:r>
      <w:r>
        <w:rPr>
          <w:rFonts w:hint="eastAsia" w:ascii="方正小标宋简体" w:eastAsia="方正小标宋简体"/>
          <w:sz w:val="44"/>
          <w:szCs w:val="44"/>
        </w:rPr>
        <w:t>支出绩效自评报告</w:t>
      </w:r>
    </w:p>
    <w:p>
      <w:pPr>
        <w:pStyle w:val="2"/>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hint="eastAsia" w:eastAsia="黑体"/>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_GB2312" w:eastAsia="楷体_GB2312"/>
          <w:b/>
          <w:sz w:val="32"/>
          <w:szCs w:val="32"/>
        </w:rPr>
      </w:pPr>
      <w:r>
        <w:rPr>
          <w:rFonts w:hint="eastAsia" w:ascii="楷体_GB2312" w:eastAsia="楷体_GB2312"/>
          <w:b/>
          <w:sz w:val="32"/>
          <w:szCs w:val="32"/>
        </w:rPr>
        <w:t>（一）项目概况</w:t>
      </w:r>
    </w:p>
    <w:p>
      <w:pPr>
        <w:spacing w:line="580" w:lineRule="exact"/>
        <w:ind w:firstLine="640" w:firstLineChars="200"/>
        <w:rPr>
          <w:rFonts w:hint="eastAsia" w:ascii="仿宋_GB2312" w:eastAsia="仿宋_GB2312"/>
          <w:sz w:val="32"/>
          <w:szCs w:val="32"/>
        </w:rPr>
      </w:pPr>
      <w:r>
        <w:rPr>
          <w:rFonts w:hint="eastAsia" w:ascii="仿宋_GB2312" w:eastAsia="仿宋_GB2312"/>
          <w:color w:val="000000"/>
          <w:sz w:val="32"/>
          <w:szCs w:val="32"/>
        </w:rPr>
        <w:t>为全面贯彻落实党的干部保健政策，进一步提高全县干部保健工作规范化、制度化、科学化，保障广大干部身心健康，根据中共甘肃省委、甘肃省人民政府《关于进一步加强干部保健工作的意见》《山丹县干部保健工作实施细则》《山丹县干部保健工作实施意见》，</w:t>
      </w:r>
      <w:r>
        <w:rPr>
          <w:rFonts w:hint="eastAsia" w:ascii="仿宋_GB2312" w:eastAsia="仿宋_GB2312"/>
          <w:color w:val="000000"/>
          <w:sz w:val="32"/>
          <w:szCs w:val="32"/>
          <w:lang w:eastAsia="zh-CN"/>
        </w:rPr>
        <w:t>为</w:t>
      </w:r>
      <w:r>
        <w:rPr>
          <w:rFonts w:hint="eastAsia" w:ascii="仿宋_GB2312" w:eastAsia="仿宋_GB2312"/>
          <w:color w:val="000000"/>
          <w:sz w:val="32"/>
          <w:szCs w:val="32"/>
        </w:rPr>
        <w:t>全县</w:t>
      </w:r>
      <w:r>
        <w:rPr>
          <w:rFonts w:hint="eastAsia" w:ascii="仿宋_GB2312" w:eastAsia="仿宋_GB2312"/>
          <w:sz w:val="32"/>
          <w:szCs w:val="32"/>
        </w:rPr>
        <w:t>党政机关事业单位在岗正式工作人员和离退休干部</w:t>
      </w:r>
      <w:r>
        <w:rPr>
          <w:rFonts w:hint="eastAsia" w:ascii="仿宋_GB2312" w:eastAsia="仿宋_GB2312"/>
          <w:sz w:val="32"/>
          <w:szCs w:val="32"/>
          <w:lang w:eastAsia="zh-CN"/>
        </w:rPr>
        <w:t>进行健康体检，副处级及以上干部和</w:t>
      </w:r>
      <w:r>
        <w:rPr>
          <w:rFonts w:hint="eastAsia" w:ascii="仿宋_GB2312" w:eastAsia="仿宋_GB2312"/>
          <w:color w:val="000000"/>
          <w:sz w:val="32"/>
          <w:szCs w:val="32"/>
        </w:rPr>
        <w:t>正高级职称专业技术人员每年体检1次，其他干部保健对象每2年体检一次</w:t>
      </w:r>
      <w:r>
        <w:rPr>
          <w:rFonts w:hint="eastAsia" w:ascii="仿宋_GB2312" w:hAnsi="黑体" w:eastAsia="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_GB2312" w:eastAsia="楷体_GB2312"/>
          <w:b/>
          <w:sz w:val="32"/>
          <w:szCs w:val="32"/>
        </w:rPr>
      </w:pPr>
      <w:r>
        <w:rPr>
          <w:rFonts w:hint="eastAsia" w:ascii="楷体_GB2312" w:eastAsia="楷体_GB2312"/>
          <w:b/>
          <w:sz w:val="32"/>
          <w:szCs w:val="32"/>
        </w:rPr>
        <w:t>（二）项目绩效目标</w:t>
      </w:r>
    </w:p>
    <w:p>
      <w:pPr>
        <w:keepNext w:val="0"/>
        <w:keepLines w:val="0"/>
        <w:pageBreakBefore w:val="0"/>
        <w:widowControl w:val="0"/>
        <w:kinsoku/>
        <w:wordWrap/>
        <w:overflowPunct/>
        <w:topLinePunct w:val="0"/>
        <w:autoSpaceDE/>
        <w:autoSpaceDN/>
        <w:bidi w:val="0"/>
        <w:spacing w:line="586"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坚持以人为本、预防为主、分类管理、重点干预，按照党管干部、党管人才的原则，大力推进干部保健工作制度化、规范化建设，着力优化干部保健工作服务模式，提高干部保健工作质量，提升干部整体健康水平，努力实现保健体系完善、保健管理科学、服务功能先进和部门协同顺畅的工作目标，为全市经济社会发展提供强有力的人力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二、项目资金情况</w:t>
      </w:r>
    </w:p>
    <w:p>
      <w:pPr>
        <w:pStyle w:val="4"/>
        <w:ind w:left="0" w:leftChars="0" w:firstLine="640" w:firstLineChars="200"/>
        <w:rPr>
          <w:rFonts w:hint="default"/>
          <w:lang w:val="en-US" w:eastAsia="zh-CN"/>
        </w:rPr>
      </w:pPr>
      <w:r>
        <w:rPr>
          <w:rFonts w:hint="eastAsia" w:ascii="仿宋_GB2312" w:hAnsi="仿宋_GB2312" w:eastAsia="仿宋_GB2312" w:cs="仿宋_GB2312"/>
          <w:i w:val="0"/>
          <w:iCs w:val="0"/>
          <w:caps w:val="0"/>
          <w:color w:val="000000"/>
          <w:spacing w:val="0"/>
          <w:kern w:val="0"/>
          <w:sz w:val="32"/>
          <w:szCs w:val="32"/>
          <w:shd w:val="clear" w:color="auto" w:fill="FFFFFF"/>
          <w:lang w:val="en-US" w:eastAsia="zh-CN" w:bidi="ar"/>
        </w:rPr>
        <w:t>2023年全县干部体检费年初预算200万元，应体检人数2181人，已体检2181人，拨付体检费147.27万元，其中：县正职2人，拨付体检费0.28万元；副处级及以上干部32人，拨付体检费3.2万元；</w:t>
      </w:r>
      <w:r>
        <w:rPr>
          <w:rFonts w:hint="eastAsia" w:ascii="仿宋_GB2312" w:eastAsia="仿宋_GB2312"/>
          <w:color w:val="000000"/>
          <w:sz w:val="32"/>
          <w:szCs w:val="32"/>
        </w:rPr>
        <w:t>正高级职称专业技术人员</w:t>
      </w:r>
      <w:r>
        <w:rPr>
          <w:rFonts w:hint="eastAsia" w:ascii="仿宋_GB2312" w:eastAsia="仿宋_GB2312"/>
          <w:color w:val="000000"/>
          <w:sz w:val="32"/>
          <w:szCs w:val="32"/>
          <w:lang w:val="en-US" w:eastAsia="zh-CN"/>
        </w:rPr>
        <w:t>77人，</w:t>
      </w:r>
      <w:r>
        <w:rPr>
          <w:rFonts w:hint="eastAsia" w:ascii="仿宋_GB2312" w:hAnsi="仿宋_GB2312" w:eastAsia="仿宋_GB2312" w:cs="仿宋_GB2312"/>
          <w:i w:val="0"/>
          <w:iCs w:val="0"/>
          <w:caps w:val="0"/>
          <w:color w:val="000000"/>
          <w:spacing w:val="0"/>
          <w:kern w:val="0"/>
          <w:sz w:val="32"/>
          <w:szCs w:val="32"/>
          <w:shd w:val="clear" w:color="auto" w:fill="FFFFFF"/>
          <w:lang w:val="en-US" w:eastAsia="zh-CN" w:bidi="ar"/>
        </w:rPr>
        <w:t>拨付体检费9.24万元；</w:t>
      </w:r>
      <w:r>
        <w:rPr>
          <w:rFonts w:hint="eastAsia" w:ascii="仿宋_GB2312" w:eastAsia="仿宋_GB2312"/>
          <w:color w:val="000000"/>
          <w:sz w:val="32"/>
          <w:szCs w:val="32"/>
          <w:lang w:val="en-US" w:eastAsia="zh-CN"/>
        </w:rPr>
        <w:t>其他干部2070人，</w:t>
      </w:r>
      <w:r>
        <w:rPr>
          <w:rFonts w:hint="eastAsia" w:ascii="仿宋_GB2312" w:hAnsi="仿宋_GB2312" w:eastAsia="仿宋_GB2312" w:cs="仿宋_GB2312"/>
          <w:i w:val="0"/>
          <w:iCs w:val="0"/>
          <w:caps w:val="0"/>
          <w:color w:val="000000"/>
          <w:spacing w:val="0"/>
          <w:kern w:val="0"/>
          <w:sz w:val="32"/>
          <w:szCs w:val="32"/>
          <w:shd w:val="clear" w:color="auto" w:fill="FFFFFF"/>
          <w:lang w:val="en-US" w:eastAsia="zh-CN" w:bidi="ar"/>
        </w:rPr>
        <w:t>拨付体检费134.55万元。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三、绩效目标完成情况及效益分析</w:t>
      </w:r>
    </w:p>
    <w:p>
      <w:pPr>
        <w:widowControl/>
        <w:autoSpaceDE w:val="0"/>
        <w:spacing w:line="587" w:lineRule="exact"/>
        <w:ind w:firstLine="640" w:firstLineChars="200"/>
        <w:rPr>
          <w:rFonts w:hint="eastAsia" w:ascii="仿宋_GB2312" w:hAnsi="宋体" w:eastAsia="仿宋_GB2312"/>
          <w:sz w:val="32"/>
          <w:szCs w:val="32"/>
        </w:rPr>
      </w:pPr>
      <w:r>
        <w:rPr>
          <w:rFonts w:hint="eastAsia" w:ascii="仿宋_GB2312" w:hAnsi="仿宋_GB2312" w:eastAsia="仿宋_GB2312" w:cs="仿宋_GB2312"/>
          <w:i w:val="0"/>
          <w:iCs w:val="0"/>
          <w:caps w:val="0"/>
          <w:color w:val="000000"/>
          <w:spacing w:val="0"/>
          <w:kern w:val="0"/>
          <w:sz w:val="32"/>
          <w:szCs w:val="32"/>
          <w:shd w:val="clear" w:color="auto" w:fill="FFFFFF"/>
          <w:lang w:val="en-US" w:eastAsia="zh-CN" w:bidi="ar"/>
        </w:rPr>
        <w:t>2023年干部体检范围是：1.县正职。2.副处级及以上干部和取得正高级职称的专业技术人员。3.全县各乡镇、县直机关、事业单位离退休人员及2022年未参加干部职工体检的乡镇、机关、事业单位在岗正式工作人员（教育系统由教育局统一安排）。</w:t>
      </w:r>
    </w:p>
    <w:p>
      <w:pPr>
        <w:widowControl/>
        <w:autoSpaceDE w:val="0"/>
        <w:spacing w:line="587" w:lineRule="exact"/>
        <w:rPr>
          <w:rFonts w:hint="eastAsia" w:ascii="仿宋_GB2312" w:eastAsia="仿宋_GB2312"/>
          <w:sz w:val="32"/>
          <w:szCs w:val="32"/>
        </w:rPr>
      </w:pPr>
      <w:r>
        <w:rPr>
          <w:rFonts w:hint="eastAsia" w:ascii="仿宋_GB2312" w:eastAsia="仿宋_GB2312"/>
          <w:color w:val="0F0F0F"/>
          <w:sz w:val="32"/>
          <w:szCs w:val="32"/>
        </w:rPr>
        <w:t>健康体检由所在单位统一组织，承检医院由各单位自主选择，具体体检时间由各体检单位和选择的定点医疗机构双方确定</w:t>
      </w:r>
      <w:r>
        <w:rPr>
          <w:rFonts w:hint="eastAsia" w:ascii="仿宋_GB2312" w:eastAsia="仿宋_GB2312"/>
          <w:color w:val="0F0F0F"/>
          <w:sz w:val="32"/>
          <w:szCs w:val="32"/>
          <w:lang w:eastAsia="zh-CN"/>
        </w:rPr>
        <w:t>，</w:t>
      </w:r>
      <w:r>
        <w:rPr>
          <w:rFonts w:hint="eastAsia" w:ascii="仿宋_GB2312" w:eastAsia="仿宋_GB2312"/>
          <w:color w:val="0F0F0F"/>
          <w:sz w:val="32"/>
          <w:szCs w:val="32"/>
        </w:rPr>
        <w:t>体检对象凭本人体检卡到承检医院进行体检。</w:t>
      </w:r>
      <w:r>
        <w:rPr>
          <w:rFonts w:hint="eastAsia" w:ascii="仿宋_GB2312" w:hAnsi="仿宋_GB2312" w:eastAsia="仿宋_GB2312" w:cs="仿宋_GB2312"/>
          <w:i w:val="0"/>
          <w:iCs w:val="0"/>
          <w:caps w:val="0"/>
          <w:color w:val="000000"/>
          <w:spacing w:val="0"/>
          <w:kern w:val="0"/>
          <w:sz w:val="32"/>
          <w:szCs w:val="32"/>
          <w:shd w:val="clear" w:color="auto" w:fill="FFFFFF"/>
          <w:lang w:val="en-US" w:eastAsia="zh-CN" w:bidi="ar"/>
        </w:rPr>
        <w:t>全县应体检2181人，均已按体检标准和体检要求完成体检，体检结果已反馈本人。</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pPr>
        <w:keepNext w:val="0"/>
        <w:keepLines w:val="0"/>
        <w:pageBreakBefore w:val="0"/>
        <w:widowControl w:val="0"/>
        <w:kinsoku/>
        <w:wordWrap/>
        <w:overflowPunct/>
        <w:topLinePunct w:val="0"/>
        <w:autoSpaceDE/>
        <w:autoSpaceDN/>
        <w:bidi w:val="0"/>
        <w:spacing w:line="586"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为全面贯彻落实党的干部保健工作政策，更好保障广大干部的身心健康，</w:t>
      </w:r>
      <w:r>
        <w:rPr>
          <w:rFonts w:hint="eastAsia" w:ascii="仿宋_GB2312" w:eastAsia="仿宋_GB2312"/>
          <w:color w:val="000000"/>
          <w:sz w:val="32"/>
          <w:szCs w:val="32"/>
          <w:lang w:eastAsia="zh-CN"/>
        </w:rPr>
        <w:t>干部体检工作</w:t>
      </w:r>
      <w:r>
        <w:rPr>
          <w:rFonts w:hint="eastAsia" w:ascii="仿宋_GB2312" w:eastAsia="仿宋_GB2312"/>
          <w:color w:val="000000"/>
          <w:sz w:val="32"/>
          <w:szCs w:val="32"/>
        </w:rPr>
        <w:t>坚持以人为本、预防为主、分类管理、重点干预，努力实现保健体系完善、保健管理科学、服务功能先进和部门协同顺畅的工作目标</w:t>
      </w:r>
      <w:r>
        <w:rPr>
          <w:rFonts w:hint="eastAsia" w:ascii="仿宋_GB2312" w:eastAsia="仿宋_GB2312"/>
          <w:color w:val="000000"/>
          <w:sz w:val="32"/>
          <w:szCs w:val="32"/>
          <w:lang w:eastAsia="zh-CN"/>
        </w:rPr>
        <w:t>。</w:t>
      </w:r>
      <w:r>
        <w:rPr>
          <w:rFonts w:hint="eastAsia" w:ascii="仿宋_GB2312" w:eastAsia="仿宋_GB2312"/>
          <w:color w:val="000000"/>
          <w:sz w:val="32"/>
          <w:szCs w:val="32"/>
        </w:rPr>
        <w:t>积极建立完善集健康体检、保健教育、疾病预警、动态监测、综合施治、追踪服务为一体的预防保健服务模式，切实做到</w:t>
      </w:r>
      <w:r>
        <w:rPr>
          <w:rFonts w:hint="eastAsia" w:ascii="仿宋_GB2312" w:eastAsia="仿宋_GB2312"/>
          <w:color w:val="000000"/>
          <w:sz w:val="32"/>
          <w:szCs w:val="32"/>
          <w:lang w:eastAsia="zh-CN"/>
        </w:rPr>
        <w:t>了</w:t>
      </w:r>
      <w:r>
        <w:rPr>
          <w:rFonts w:hint="eastAsia" w:ascii="仿宋_GB2312" w:eastAsia="仿宋_GB2312"/>
          <w:color w:val="000000"/>
          <w:sz w:val="32"/>
          <w:szCs w:val="32"/>
        </w:rPr>
        <w:t>早预防、早发现、早治疗，</w:t>
      </w:r>
      <w:r>
        <w:rPr>
          <w:rFonts w:hint="eastAsia" w:ascii="仿宋_GB2312" w:eastAsia="仿宋_GB2312"/>
          <w:color w:val="000000"/>
          <w:sz w:val="32"/>
          <w:szCs w:val="32"/>
          <w:lang w:eastAsia="zh-CN"/>
        </w:rPr>
        <w:t>努力</w:t>
      </w:r>
      <w:r>
        <w:rPr>
          <w:rFonts w:hint="eastAsia" w:ascii="仿宋_GB2312" w:eastAsia="仿宋_GB2312"/>
          <w:color w:val="000000"/>
          <w:sz w:val="32"/>
          <w:szCs w:val="32"/>
        </w:rPr>
        <w:t>提高医疗救治水平，</w:t>
      </w:r>
      <w:r>
        <w:rPr>
          <w:rFonts w:hint="eastAsia" w:ascii="仿宋_GB2312" w:eastAsia="仿宋_GB2312"/>
          <w:color w:val="000000"/>
          <w:sz w:val="32"/>
          <w:szCs w:val="32"/>
          <w:lang w:eastAsia="zh-CN"/>
        </w:rPr>
        <w:t>逐步</w:t>
      </w:r>
      <w:r>
        <w:rPr>
          <w:rFonts w:hint="eastAsia" w:ascii="仿宋_GB2312" w:eastAsia="仿宋_GB2312"/>
          <w:color w:val="000000"/>
          <w:sz w:val="32"/>
          <w:szCs w:val="32"/>
        </w:rPr>
        <w:t>提升疾病治愈率和救治成功率。</w:t>
      </w:r>
    </w:p>
    <w:p>
      <w:pPr>
        <w:numPr>
          <w:ilvl w:val="0"/>
          <w:numId w:val="0"/>
        </w:num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五、存在的问题</w:t>
      </w:r>
    </w:p>
    <w:p>
      <w:pPr>
        <w:spacing w:line="600" w:lineRule="exact"/>
        <w:ind w:firstLine="640" w:firstLineChars="200"/>
        <w:rPr>
          <w:rFonts w:ascii="仿宋_GB2312" w:hAnsi="Times New Roman" w:eastAsia="仿宋_GB2312" w:cs="Times New Roman"/>
          <w:color w:val="000000"/>
          <w:sz w:val="32"/>
          <w:szCs w:val="32"/>
        </w:rPr>
      </w:pPr>
      <w:r>
        <w:rPr>
          <w:rFonts w:hint="eastAsia" w:ascii="仿宋_GB2312" w:eastAsia="仿宋_GB2312"/>
          <w:color w:val="000000"/>
          <w:sz w:val="32"/>
          <w:szCs w:val="32"/>
          <w:lang w:eastAsia="zh-CN"/>
        </w:rPr>
        <w:t>部分</w:t>
      </w:r>
      <w:r>
        <w:rPr>
          <w:rFonts w:hint="eastAsia" w:ascii="仿宋_GB2312" w:eastAsia="仿宋_GB2312"/>
          <w:color w:val="000000"/>
          <w:sz w:val="32"/>
          <w:szCs w:val="32"/>
        </w:rPr>
        <w:t>干部保健意识不强</w:t>
      </w:r>
      <w:r>
        <w:rPr>
          <w:rFonts w:hint="eastAsia" w:ascii="仿宋_GB2312" w:eastAsia="仿宋_GB2312"/>
          <w:color w:val="000000"/>
          <w:sz w:val="32"/>
          <w:szCs w:val="32"/>
          <w:lang w:eastAsia="zh-CN"/>
        </w:rPr>
        <w:t>，</w:t>
      </w:r>
      <w:r>
        <w:rPr>
          <w:rFonts w:hint="eastAsia" w:ascii="仿宋_GB2312" w:eastAsia="仿宋_GB2312"/>
          <w:color w:val="000000"/>
          <w:sz w:val="32"/>
          <w:szCs w:val="32"/>
        </w:rPr>
        <w:t>不重视或不</w:t>
      </w:r>
      <w:r>
        <w:rPr>
          <w:rFonts w:hint="eastAsia" w:ascii="仿宋_GB2312" w:eastAsia="仿宋_GB2312"/>
          <w:color w:val="000000"/>
          <w:sz w:val="32"/>
          <w:szCs w:val="32"/>
          <w:lang w:eastAsia="zh-CN"/>
        </w:rPr>
        <w:t>按时</w:t>
      </w:r>
      <w:r>
        <w:rPr>
          <w:rFonts w:hint="eastAsia" w:ascii="仿宋_GB2312" w:eastAsia="仿宋_GB2312"/>
          <w:color w:val="000000"/>
          <w:sz w:val="32"/>
          <w:szCs w:val="32"/>
        </w:rPr>
        <w:t>参加年度体检,</w:t>
      </w:r>
      <w:r>
        <w:rPr>
          <w:rFonts w:hint="eastAsia" w:ascii="仿宋_GB2312" w:eastAsia="仿宋_GB2312"/>
          <w:color w:val="000000"/>
          <w:sz w:val="32"/>
          <w:szCs w:val="32"/>
          <w:lang w:eastAsia="zh-CN"/>
        </w:rPr>
        <w:t>造成年度干部参检率不高。</w:t>
      </w:r>
      <w:r>
        <w:rPr>
          <w:rFonts w:hint="eastAsia" w:ascii="仿宋_GB2312" w:hAnsi="Times New Roman" w:eastAsia="仿宋_GB2312" w:cs="Times New Roman"/>
          <w:color w:val="000000"/>
          <w:sz w:val="32"/>
          <w:szCs w:val="32"/>
        </w:rPr>
        <w:t>在体检过程中受检者不按体检医生的要求做好前期准备，造成有些体检项目结果不准确。服务意识和干部保健知识宣传尚需加强。</w:t>
      </w:r>
    </w:p>
    <w:p>
      <w:p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六、下一步改进工作的措施</w:t>
      </w:r>
    </w:p>
    <w:p>
      <w:pPr>
        <w:spacing w:line="360" w:lineRule="auto"/>
        <w:ind w:firstLine="640" w:firstLineChars="200"/>
        <w:rPr>
          <w:rFonts w:hint="eastAsia" w:ascii="仿宋_GB2312" w:hAnsi="仿宋_GB2312" w:eastAsia="仿宋_GB2312" w:cs="仿宋_GB2312"/>
          <w:color w:val="171A1D"/>
          <w:kern w:val="0"/>
          <w:sz w:val="32"/>
          <w:szCs w:val="32"/>
          <w:lang w:val="en-US" w:eastAsia="zh-CN" w:bidi="ar-SA"/>
        </w:rPr>
      </w:pPr>
      <w:r>
        <w:rPr>
          <w:rFonts w:hint="eastAsia" w:ascii="仿宋_GB2312" w:hAnsi="仿宋_GB2312" w:eastAsia="仿宋_GB2312" w:cs="仿宋_GB2312"/>
          <w:color w:val="171A1D"/>
          <w:kern w:val="0"/>
          <w:sz w:val="32"/>
          <w:szCs w:val="32"/>
          <w:lang w:val="en-US" w:eastAsia="zh-CN" w:bidi="ar-SA"/>
        </w:rPr>
        <w:t>积极探索体检工作的新思路、新方法，制定合理的体检流程，切实做到认真负责并以优质的医疗质量和良好的服务态度完成各项体检工作。</w:t>
      </w:r>
    </w:p>
    <w:p>
      <w:pPr>
        <w:pStyle w:val="2"/>
        <w:rPr>
          <w:rFonts w:hint="eastAsia" w:ascii="仿宋_GB2312" w:hAnsi="仿宋_GB2312" w:eastAsia="仿宋_GB2312" w:cs="仿宋_GB2312"/>
          <w:color w:val="171A1D"/>
          <w:kern w:val="0"/>
          <w:sz w:val="32"/>
          <w:szCs w:val="32"/>
          <w:lang w:eastAsia="zh-CN"/>
        </w:rPr>
      </w:pPr>
    </w:p>
    <w:p>
      <w:pPr>
        <w:rPr>
          <w:rFonts w:hint="eastAsia" w:ascii="仿宋_GB2312" w:hAnsi="仿宋_GB2312" w:eastAsia="仿宋_GB2312" w:cs="仿宋_GB2312"/>
          <w:color w:val="171A1D"/>
          <w:kern w:val="0"/>
          <w:sz w:val="32"/>
          <w:szCs w:val="32"/>
          <w:lang w:eastAsia="zh-CN"/>
        </w:rPr>
      </w:pPr>
    </w:p>
    <w:p>
      <w:pPr>
        <w:pStyle w:val="2"/>
        <w:rPr>
          <w:rFonts w:hint="eastAsia" w:ascii="仿宋_GB2312" w:hAnsi="仿宋_GB2312" w:eastAsia="仿宋_GB2312" w:cs="仿宋_GB2312"/>
          <w:color w:val="171A1D"/>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rPr>
          <w:rFonts w:hint="eastAsia" w:ascii="仿宋_GB2312" w:hAnsi="仿宋_GB2312" w:eastAsia="仿宋_GB2312" w:cs="仿宋_GB2312"/>
          <w:color w:val="171A1D"/>
          <w:kern w:val="0"/>
          <w:sz w:val="32"/>
          <w:szCs w:val="32"/>
          <w:lang w:eastAsia="zh-CN"/>
        </w:rPr>
      </w:pPr>
      <w:r>
        <w:rPr>
          <w:rFonts w:hint="eastAsia" w:ascii="仿宋_GB2312" w:hAnsi="仿宋_GB2312" w:eastAsia="仿宋_GB2312" w:cs="仿宋_GB2312"/>
          <w:color w:val="171A1D"/>
          <w:kern w:val="0"/>
          <w:sz w:val="32"/>
          <w:szCs w:val="32"/>
          <w:lang w:eastAsia="zh-CN"/>
        </w:rPr>
        <w:t>山丹县卫生健康局</w:t>
      </w:r>
    </w:p>
    <w:p>
      <w:pPr>
        <w:keepNext w:val="0"/>
        <w:keepLines w:val="0"/>
        <w:pageBreakBefore w:val="0"/>
        <w:widowControl w:val="0"/>
        <w:kinsoku/>
        <w:wordWrap/>
        <w:overflowPunct/>
        <w:topLinePunct w:val="0"/>
        <w:autoSpaceDE/>
        <w:autoSpaceDN/>
        <w:bidi w:val="0"/>
        <w:adjustRightInd/>
        <w:snapToGrid/>
        <w:spacing w:line="560" w:lineRule="exact"/>
        <w:ind w:firstLine="4928" w:firstLineChars="1600"/>
        <w:textAlignment w:val="auto"/>
        <w:rPr>
          <w:rFonts w:hint="eastAsia" w:ascii="仿宋_GB2312" w:hAnsi="仿宋_GB2312" w:eastAsia="仿宋_GB2312" w:cs="仿宋_GB2312"/>
          <w:color w:val="171A1D"/>
          <w:spacing w:val="-6"/>
          <w:kern w:val="0"/>
          <w:sz w:val="32"/>
          <w:szCs w:val="32"/>
          <w:lang w:eastAsia="zh-CN"/>
        </w:rPr>
      </w:pPr>
      <w:r>
        <w:rPr>
          <w:rFonts w:hint="eastAsia" w:ascii="仿宋_GB2312" w:hAnsi="仿宋_GB2312" w:eastAsia="仿宋_GB2312" w:cs="仿宋_GB2312"/>
          <w:color w:val="171A1D"/>
          <w:spacing w:val="-6"/>
          <w:kern w:val="0"/>
          <w:sz w:val="32"/>
          <w:szCs w:val="32"/>
          <w:lang w:eastAsia="zh-CN"/>
        </w:rPr>
        <w:t>2023年</w:t>
      </w:r>
      <w:r>
        <w:rPr>
          <w:rFonts w:hint="eastAsia" w:ascii="仿宋_GB2312" w:hAnsi="仿宋_GB2312" w:eastAsia="仿宋_GB2312" w:cs="仿宋_GB2312"/>
          <w:color w:val="171A1D"/>
          <w:spacing w:val="-6"/>
          <w:kern w:val="0"/>
          <w:sz w:val="32"/>
          <w:szCs w:val="32"/>
          <w:lang w:val="en-US" w:eastAsia="zh-CN"/>
        </w:rPr>
        <w:t>12</w:t>
      </w:r>
      <w:r>
        <w:rPr>
          <w:rFonts w:hint="eastAsia" w:ascii="仿宋_GB2312" w:hAnsi="仿宋_GB2312" w:eastAsia="仿宋_GB2312" w:cs="仿宋_GB2312"/>
          <w:color w:val="171A1D"/>
          <w:spacing w:val="-6"/>
          <w:kern w:val="0"/>
          <w:sz w:val="32"/>
          <w:szCs w:val="32"/>
          <w:lang w:eastAsia="zh-CN"/>
        </w:rPr>
        <w:t>月</w:t>
      </w:r>
      <w:r>
        <w:rPr>
          <w:rFonts w:hint="eastAsia" w:ascii="仿宋_GB2312" w:hAnsi="仿宋_GB2312" w:eastAsia="仿宋_GB2312" w:cs="仿宋_GB2312"/>
          <w:color w:val="171A1D"/>
          <w:spacing w:val="-6"/>
          <w:kern w:val="0"/>
          <w:sz w:val="32"/>
          <w:szCs w:val="32"/>
          <w:lang w:val="en-US" w:eastAsia="zh-CN"/>
        </w:rPr>
        <w:t>20</w:t>
      </w:r>
      <w:bookmarkStart w:id="0" w:name="_GoBack"/>
      <w:bookmarkEnd w:id="0"/>
      <w:r>
        <w:rPr>
          <w:rFonts w:hint="eastAsia" w:ascii="仿宋_GB2312" w:hAnsi="仿宋_GB2312" w:eastAsia="仿宋_GB2312" w:cs="仿宋_GB2312"/>
          <w:color w:val="171A1D"/>
          <w:spacing w:val="-6"/>
          <w:kern w:val="0"/>
          <w:sz w:val="32"/>
          <w:szCs w:val="32"/>
          <w:lang w:eastAsia="zh-CN"/>
        </w:rPr>
        <w:t>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171A1D"/>
          <w:kern w:val="0"/>
          <w:sz w:val="32"/>
          <w:szCs w:val="32"/>
          <w:lang w:eastAsia="zh-CN"/>
        </w:rPr>
      </w:pPr>
    </w:p>
    <w:p>
      <w:pPr>
        <w:pStyle w:val="2"/>
      </w:pPr>
    </w:p>
    <w:sectPr>
      <w:pgSz w:w="11906" w:h="16838"/>
      <w:pgMar w:top="2098" w:right="1474" w:bottom="181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g0YWQ3ZjU3ODc2Mzg3ZDFlZjY0YTdlNGQwOGM0YzQifQ=="/>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E430CA"/>
    <w:rsid w:val="00EA2F26"/>
    <w:rsid w:val="0ECA2393"/>
    <w:rsid w:val="152128CE"/>
    <w:rsid w:val="1D1F79D2"/>
    <w:rsid w:val="20D60D46"/>
    <w:rsid w:val="238D3086"/>
    <w:rsid w:val="241A28A8"/>
    <w:rsid w:val="27CA09CA"/>
    <w:rsid w:val="3258365D"/>
    <w:rsid w:val="344B7FFF"/>
    <w:rsid w:val="368B5499"/>
    <w:rsid w:val="38C42110"/>
    <w:rsid w:val="3C7066EA"/>
    <w:rsid w:val="49FA173B"/>
    <w:rsid w:val="59D038E6"/>
    <w:rsid w:val="713D66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99"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index 6"/>
    <w:basedOn w:val="1"/>
    <w:next w:val="1"/>
    <w:autoRedefine/>
    <w:semiHidden/>
    <w:qFormat/>
    <w:uiPriority w:val="99"/>
    <w:pPr>
      <w:spacing w:line="520" w:lineRule="exact"/>
      <w:jc w:val="left"/>
    </w:pPr>
  </w:style>
  <w:style w:type="paragraph" w:styleId="3">
    <w:name w:val="Body Text"/>
    <w:basedOn w:val="1"/>
    <w:autoRedefine/>
    <w:qFormat/>
    <w:uiPriority w:val="1"/>
    <w:rPr>
      <w:sz w:val="32"/>
      <w:szCs w:val="32"/>
    </w:rPr>
  </w:style>
  <w:style w:type="paragraph" w:styleId="4">
    <w:name w:val="Body Text Indent 2"/>
    <w:basedOn w:val="1"/>
    <w:next w:val="1"/>
    <w:autoRedefine/>
    <w:qFormat/>
    <w:uiPriority w:val="0"/>
    <w:pPr>
      <w:spacing w:line="480" w:lineRule="auto"/>
      <w:ind w:left="420" w:leftChars="200"/>
    </w:pPr>
    <w:rPr>
      <w:rFonts w:ascii="Times New Roman" w:hAnsi="Times New Roman" w:eastAsia="宋体"/>
      <w:szCs w:val="21"/>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0"/>
    <w:rPr>
      <w:rFonts w:ascii="Calibri"/>
      <w:kern w:val="2"/>
      <w:sz w:val="18"/>
      <w:szCs w:val="18"/>
    </w:rPr>
  </w:style>
  <w:style w:type="character" w:customStyle="1" w:styleId="10">
    <w:name w:val="页脚 Char"/>
    <w:basedOn w:val="8"/>
    <w:link w:val="5"/>
    <w:qFormat/>
    <w:uiPriority w:val="0"/>
    <w:rPr>
      <w:rFonts w:ascii="Calibri"/>
      <w:kern w:val="2"/>
      <w:sz w:val="18"/>
      <w:szCs w:val="18"/>
    </w:rPr>
  </w:style>
  <w:style w:type="paragraph" w:styleId="1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1056</Words>
  <Characters>1114</Characters>
  <Lines>2</Lines>
  <Paragraphs>1</Paragraphs>
  <TotalTime>4</TotalTime>
  <ScaleCrop>false</ScaleCrop>
  <LinksUpToDate>false</LinksUpToDate>
  <CharactersWithSpaces>1115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落叶</cp:lastModifiedBy>
  <cp:lastPrinted>2023-06-08T01:23:00Z</cp:lastPrinted>
  <dcterms:modified xsi:type="dcterms:W3CDTF">2023-12-28T00:55:32Z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FD3AACDD595D40CAA02A3F704D357DE3_12</vt:lpwstr>
  </property>
</Properties>
</file>