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疫情防控资金</w:t>
      </w:r>
      <w:r>
        <w:rPr>
          <w:rFonts w:hint="eastAsia" w:ascii="方正小标宋简体" w:eastAsia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Times New Roman" w:hAnsi="Times New Roman" w:eastAsia="黑体"/>
          <w:snapToGrid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ascii="Times New Roman" w:hAnsi="Times New Roman" w:eastAsia="黑体"/>
          <w:snapToGrid w:val="0"/>
          <w:sz w:val="32"/>
          <w:szCs w:val="32"/>
        </w:rPr>
      </w:pPr>
      <w:r>
        <w:rPr>
          <w:rFonts w:hint="eastAsia" w:ascii="Times New Roman" w:hAnsi="Times New Roman" w:eastAsia="黑体"/>
          <w:snapToGrid w:val="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3" w:firstLineChars="200"/>
        <w:textAlignment w:val="auto"/>
        <w:rPr>
          <w:rFonts w:ascii="Times New Roman" w:hAnsi="Times New Roman" w:eastAsia="楷体_GB2312"/>
          <w:b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楷体_GB2312"/>
          <w:b/>
          <w:bCs w:val="0"/>
          <w:snapToGrid w:val="0"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Times New Roman" w:hAnsi="Times New Roman" w:eastAsia="仿宋_GB2312"/>
          <w:snapToGrid w:val="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山丹县卫生健康局为该项目主管单位，坚持“预防为主、防治结合、依法科学、分级分类”的原则，坚持常态化精准防控和局部应急处置相结合，按照“及时发现、快速处置、精准管控、有效救治”的工作要求，落实疫情防控各项政策，有效防范疫情反弹，巩固当前防控成效。保证各级医疗卫生单位正常运转，解决卫生健康系统疫情期间债务。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加强对该资金管理，确保专款专用，提高资金使用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效益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3" w:firstLineChars="200"/>
        <w:textAlignment w:val="auto"/>
        <w:rPr>
          <w:rFonts w:ascii="Times New Roman" w:hAnsi="Times New Roman" w:eastAsia="楷体_GB2312"/>
          <w:b/>
          <w:snapToGrid w:val="0"/>
          <w:sz w:val="32"/>
          <w:szCs w:val="32"/>
        </w:rPr>
      </w:pPr>
      <w:r>
        <w:rPr>
          <w:rFonts w:hint="eastAsia" w:ascii="Times New Roman" w:hAnsi="Times New Roman" w:eastAsia="楷体_GB2312"/>
          <w:b/>
          <w:snapToGrid w:val="0"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sz w:val="32"/>
          <w:szCs w:val="32"/>
        </w:rPr>
        <w:t>通过该项目的实施，进一步加强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全县各医疗卫生单位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新冠肺炎疫情防控及救治的各项措施，提高应急处置和医疗救治能力，防治医务人员感染，切实保障人民群众及医护人员生命安全和身体健康。通过开展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应检尽检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，愿检尽检”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核酸检测，加强了新冠肺炎的防治工作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维护了社会的稳定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，使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疫情防控能力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得到进一步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提升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受益群众满意度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达到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94%。保证各级医疗卫生单位正常运转，有效化解各级医疗卫生机构及集中隔离医学观察点债务。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该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资金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拨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付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县卫生健康局，用于化解疫情期间债务及常态化疫情防控使用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。该资金到位率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%、到位及时性100%。截止评价时点该项目资金支出情况良好，按照资金在规定时限内通过规定的途径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支付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，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主要用于化解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2020-2022年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疫情防控期间债务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，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如预防新冠中药汤剂投入、方舱实验室安装成本投入、疫情期间职工生活保障、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核酸检测试剂成本等，全部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达到资金管理要求。该资金支付范围、支付标准、支付进度、支付依据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均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合规合法、符合预算要求。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我单位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严格执行财务管理制度，账务处理及时，会计核算规范。自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拨付该项目资金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后，所有资金都已经全部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支付完毕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，并按项目建设要求和进度全部落实到位。截止目前实际总支出为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441.2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万元，结余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360.37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该项目的实施，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切实保障广大人民群众的身体健康和生命安全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通过开展”应检尽检“核酸检测，加强了新冠肺炎的防治工作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ab/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>，维护了社会的稳定，使疫情防控能力得到进一步提升，受益群众满意度达到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94%。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ab/>
      </w:r>
      <w:r>
        <w:rPr>
          <w:rFonts w:hint="eastAsia" w:ascii="Times New Roman" w:hAnsi="Times New Roman" w:eastAsia="仿宋_GB2312"/>
          <w:snapToGrid w:val="0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ascii="Times New Roman" w:hAnsi="Times New Roman" w:eastAsia="仿宋"/>
          <w:snapToGrid w:val="0"/>
          <w:sz w:val="32"/>
        </w:rPr>
      </w:pP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Times New Roman" w:hAnsi="Times New Roman" w:eastAsia="仿宋"/>
          <w:snapToGrid w:val="0"/>
          <w:sz w:val="32"/>
        </w:rPr>
        <w:t>依据县财政局绩效评价指标体系，结合项目实施情况，对</w:t>
      </w:r>
      <w:r>
        <w:rPr>
          <w:rFonts w:hint="eastAsia" w:ascii="Times New Roman" w:hAnsi="Times New Roman" w:eastAsia="仿宋"/>
          <w:snapToGrid w:val="0"/>
          <w:sz w:val="32"/>
          <w:lang w:eastAsia="zh-CN"/>
        </w:rPr>
        <w:t>疫情防控资金</w:t>
      </w:r>
      <w:r>
        <w:rPr>
          <w:rFonts w:hint="eastAsia" w:ascii="Times New Roman" w:hAnsi="Times New Roman" w:eastAsia="仿宋"/>
          <w:snapToGrid w:val="0"/>
          <w:sz w:val="32"/>
        </w:rPr>
        <w:t>项目自评总得分</w:t>
      </w:r>
      <w:r>
        <w:rPr>
          <w:rFonts w:hint="eastAsia" w:ascii="Times New Roman" w:hAnsi="Times New Roman" w:eastAsia="仿宋"/>
          <w:snapToGrid w:val="0"/>
          <w:sz w:val="32"/>
          <w:lang w:val="en-US" w:eastAsia="zh-CN"/>
        </w:rPr>
        <w:t>91</w:t>
      </w:r>
      <w:r>
        <w:rPr>
          <w:rFonts w:hint="eastAsia" w:ascii="Times New Roman" w:hAnsi="Times New Roman" w:eastAsia="仿宋"/>
          <w:snapToGrid w:val="0"/>
          <w:sz w:val="32"/>
        </w:rPr>
        <w:t>分，评价等级为优。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Times New Roman" w:hAnsi="Times New Roman" w:eastAsia="仿宋"/>
          <w:snapToGrid w:val="0"/>
          <w:sz w:val="32"/>
          <w:lang w:eastAsia="zh-CN"/>
        </w:rPr>
        <w:t>因目前疫情平稳，医疗物资采购后面临过期，故用于补充应急医疗物资储备库资金暂留存，致使资金执行率较低。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Times New Roman" w:hAnsi="Times New Roman" w:eastAsia="仿宋_GB2312"/>
          <w:snapToGrid w:val="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sz w:val="32"/>
          <w:szCs w:val="32"/>
        </w:rPr>
        <w:t>严格进行医疗质量评价，加强综合管理，提高服务能力，优化诊疗流程，改进服务质量，不断提高</w:t>
      </w:r>
      <w:r>
        <w:rPr>
          <w:rFonts w:hint="eastAsia" w:ascii="Times New Roman" w:hAnsi="Times New Roman" w:eastAsia="仿宋_GB2312"/>
          <w:snapToGrid w:val="0"/>
          <w:sz w:val="32"/>
          <w:szCs w:val="32"/>
          <w:lang w:val="en-US" w:eastAsia="zh-CN"/>
        </w:rPr>
        <w:t>医疗保障能力和水平，及时根据疫情形势补充应急医疗物资</w:t>
      </w:r>
      <w:r>
        <w:rPr>
          <w:rFonts w:hint="eastAsia" w:ascii="Times New Roman" w:hAnsi="Times New Roman" w:eastAsia="仿宋_GB2312"/>
          <w:snapToGrid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Chars="200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Chars="200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zh-CN"/>
        </w:rPr>
        <w:t>山丹县卫生健康局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2023年12月20日</w:t>
      </w:r>
    </w:p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3A20AC"/>
    <w:multiLevelType w:val="singleLevel"/>
    <w:tmpl w:val="1F3A20A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YyMDExOTBkMDUyMDg2NGUwYWFmNWE0YjNhNDEyNDg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5B12866"/>
    <w:rsid w:val="0ECA2393"/>
    <w:rsid w:val="19F8050C"/>
    <w:rsid w:val="2ECB7CF4"/>
    <w:rsid w:val="37DC049F"/>
    <w:rsid w:val="3FF878C8"/>
    <w:rsid w:val="402406BD"/>
    <w:rsid w:val="40D84160"/>
    <w:rsid w:val="53937294"/>
    <w:rsid w:val="618E493A"/>
    <w:rsid w:val="6C3C38BA"/>
    <w:rsid w:val="6E371FE2"/>
    <w:rsid w:val="73C816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9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2023-12-25T03:39:30Z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0FBC06C7311D4A50B75635D45EA28EAD_12</vt:lpwstr>
  </property>
</Properties>
</file>