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A497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napToGrid w:val="0"/>
          <w:sz w:val="44"/>
          <w:szCs w:val="44"/>
          <w:lang w:eastAsia="zh-CN"/>
        </w:rPr>
      </w:pPr>
      <w:bookmarkStart w:id="0" w:name="OLE_LINK1"/>
      <w:r>
        <w:rPr>
          <w:rFonts w:hint="eastAsia" w:ascii="方正小标宋简体" w:hAnsi="方正小标宋简体" w:eastAsia="方正小标宋简体" w:cs="方正小标宋简体"/>
          <w:b w:val="0"/>
          <w:bCs w:val="0"/>
          <w:snapToGrid w:val="0"/>
          <w:sz w:val="44"/>
          <w:szCs w:val="44"/>
          <w:lang w:eastAsia="zh-CN"/>
        </w:rPr>
        <w:t>山丹县卫生健康局</w:t>
      </w:r>
    </w:p>
    <w:p w14:paraId="2B968E4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eastAsia="方正小标宋简体"/>
          <w:sz w:val="44"/>
          <w:szCs w:val="44"/>
        </w:rPr>
      </w:pPr>
      <w:r>
        <w:rPr>
          <w:rFonts w:hint="eastAsia" w:ascii="方正小标宋简体" w:hAnsi="方正小标宋简体" w:eastAsia="方正小标宋简体" w:cs="方正小标宋简体"/>
          <w:b w:val="0"/>
          <w:bCs w:val="0"/>
          <w:snapToGrid w:val="0"/>
          <w:sz w:val="44"/>
          <w:szCs w:val="44"/>
        </w:rPr>
        <w:t>整体支出绩效自评报告</w:t>
      </w:r>
      <w:bookmarkEnd w:id="0"/>
    </w:p>
    <w:p w14:paraId="04AEBC9E">
      <w:pPr>
        <w:keepNext w:val="0"/>
        <w:keepLines w:val="0"/>
        <w:pageBreakBefore w:val="0"/>
        <w:widowControl w:val="0"/>
        <w:kinsoku/>
        <w:wordWrap/>
        <w:overflowPunct/>
        <w:topLinePunct w:val="0"/>
        <w:autoSpaceDE/>
        <w:autoSpaceDN/>
        <w:bidi w:val="0"/>
        <w:snapToGrid w:val="0"/>
        <w:spacing w:line="560" w:lineRule="exact"/>
        <w:ind w:firstLine="842" w:firstLineChars="200"/>
        <w:textAlignment w:val="auto"/>
        <w:rPr>
          <w:rFonts w:ascii="Times New Roman" w:hAnsi="Times New Roman" w:eastAsia="黑体"/>
          <w:snapToGrid w:val="0"/>
          <w:spacing w:val="0"/>
          <w:sz w:val="32"/>
          <w:szCs w:val="32"/>
        </w:rPr>
      </w:pPr>
      <w:r>
        <w:rPr>
          <w:rFonts w:hint="eastAsia" w:ascii="Times New Roman" w:hAnsi="Times New Roman" w:eastAsia="黑体"/>
          <w:snapToGrid w:val="0"/>
          <w:spacing w:val="0"/>
          <w:sz w:val="32"/>
          <w:szCs w:val="32"/>
        </w:rPr>
        <w:t>一、部门概况</w:t>
      </w:r>
    </w:p>
    <w:p w14:paraId="19B8041B">
      <w:pPr>
        <w:keepNext w:val="0"/>
        <w:keepLines w:val="0"/>
        <w:pageBreakBefore w:val="0"/>
        <w:widowControl w:val="0"/>
        <w:kinsoku/>
        <w:wordWrap/>
        <w:overflowPunct/>
        <w:topLinePunct w:val="0"/>
        <w:autoSpaceDE/>
        <w:autoSpaceDN/>
        <w:bidi w:val="0"/>
        <w:snapToGrid w:val="0"/>
        <w:spacing w:line="560" w:lineRule="exact"/>
        <w:ind w:firstLine="842" w:firstLineChars="200"/>
        <w:textAlignment w:val="auto"/>
        <w:rPr>
          <w:rFonts w:ascii="Times New Roman" w:hAnsi="Times New Roman" w:eastAsia="楷体_GB2312"/>
          <w:b/>
          <w:bCs w:val="0"/>
          <w:snapToGrid w:val="0"/>
          <w:spacing w:val="0"/>
          <w:sz w:val="32"/>
          <w:szCs w:val="32"/>
        </w:rPr>
      </w:pPr>
      <w:r>
        <w:rPr>
          <w:rFonts w:hint="eastAsia" w:ascii="Times New Roman" w:hAnsi="Times New Roman" w:eastAsia="楷体_GB2312"/>
          <w:b/>
          <w:bCs w:val="0"/>
          <w:snapToGrid w:val="0"/>
          <w:spacing w:val="0"/>
          <w:sz w:val="32"/>
          <w:szCs w:val="32"/>
        </w:rPr>
        <w:t>（一）基本情况</w:t>
      </w:r>
    </w:p>
    <w:p w14:paraId="4628930B">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b/>
          <w:bCs/>
          <w:snapToGrid w:val="0"/>
          <w:spacing w:val="0"/>
          <w:sz w:val="32"/>
          <w:szCs w:val="32"/>
        </w:rPr>
      </w:pPr>
      <w:r>
        <w:rPr>
          <w:rFonts w:hint="eastAsia" w:ascii="Times New Roman" w:hAnsi="Times New Roman" w:eastAsia="仿宋_GB2312" w:cs="仿宋_GB2312"/>
          <w:b/>
          <w:bCs/>
          <w:snapToGrid w:val="0"/>
          <w:spacing w:val="0"/>
          <w:sz w:val="32"/>
          <w:szCs w:val="32"/>
        </w:rPr>
        <w:t>1.单位基本情况</w:t>
      </w:r>
    </w:p>
    <w:p w14:paraId="2757B3BD">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山丹县卫生健康局（以下简称县卫生健康局）是县政府工作部门，为正科级。县</w:t>
      </w:r>
      <w:r>
        <w:rPr>
          <w:rFonts w:hint="eastAsia" w:ascii="Times New Roman" w:hAnsi="Times New Roman" w:eastAsia="仿宋_GB2312" w:cs="仿宋_GB2312"/>
          <w:snapToGrid w:val="0"/>
          <w:spacing w:val="0"/>
          <w:sz w:val="32"/>
          <w:szCs w:val="32"/>
          <w:lang w:eastAsia="zh-CN"/>
        </w:rPr>
        <w:t>卫生健康局</w:t>
      </w:r>
      <w:r>
        <w:rPr>
          <w:rFonts w:hint="eastAsia" w:ascii="Times New Roman" w:hAnsi="Times New Roman" w:eastAsia="仿宋_GB2312" w:cs="仿宋_GB2312"/>
          <w:snapToGrid w:val="0"/>
          <w:spacing w:val="0"/>
          <w:sz w:val="32"/>
          <w:szCs w:val="32"/>
        </w:rPr>
        <w:t>贯彻落实党中央和省、市、县委关于</w:t>
      </w:r>
      <w:r>
        <w:rPr>
          <w:rFonts w:hint="eastAsia" w:ascii="Times New Roman" w:hAnsi="Times New Roman" w:eastAsia="仿宋_GB2312" w:cs="仿宋_GB2312"/>
          <w:snapToGrid w:val="0"/>
          <w:spacing w:val="0"/>
          <w:sz w:val="32"/>
          <w:szCs w:val="32"/>
          <w:lang w:eastAsia="zh-CN"/>
        </w:rPr>
        <w:t>卫生健康</w:t>
      </w:r>
      <w:r>
        <w:rPr>
          <w:rFonts w:hint="eastAsia" w:ascii="Times New Roman" w:hAnsi="Times New Roman" w:eastAsia="仿宋_GB2312" w:cs="仿宋_GB2312"/>
          <w:snapToGrid w:val="0"/>
          <w:spacing w:val="0"/>
          <w:sz w:val="32"/>
          <w:szCs w:val="32"/>
        </w:rPr>
        <w:t>工作的方针政策和决策部署，在履行职责过程中坚持和加强党对</w:t>
      </w:r>
      <w:r>
        <w:rPr>
          <w:rFonts w:hint="eastAsia" w:ascii="Times New Roman" w:hAnsi="Times New Roman" w:eastAsia="仿宋_GB2312" w:cs="仿宋_GB2312"/>
          <w:snapToGrid w:val="0"/>
          <w:spacing w:val="0"/>
          <w:sz w:val="32"/>
          <w:szCs w:val="32"/>
          <w:lang w:eastAsia="zh-CN"/>
        </w:rPr>
        <w:t>卫生健康</w:t>
      </w:r>
      <w:r>
        <w:rPr>
          <w:rFonts w:hint="eastAsia" w:ascii="Times New Roman" w:hAnsi="Times New Roman" w:eastAsia="仿宋_GB2312" w:cs="仿宋_GB2312"/>
          <w:snapToGrid w:val="0"/>
          <w:spacing w:val="0"/>
          <w:sz w:val="32"/>
          <w:szCs w:val="32"/>
        </w:rPr>
        <w:t>工作的集中统一领导。</w:t>
      </w:r>
    </w:p>
    <w:p w14:paraId="723B04B5">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b/>
          <w:bCs/>
          <w:snapToGrid w:val="0"/>
          <w:spacing w:val="0"/>
          <w:sz w:val="32"/>
          <w:szCs w:val="32"/>
        </w:rPr>
      </w:pPr>
      <w:r>
        <w:rPr>
          <w:rFonts w:hint="eastAsia" w:ascii="Times New Roman" w:hAnsi="Times New Roman" w:eastAsia="仿宋_GB2312" w:cs="仿宋_GB2312"/>
          <w:b/>
          <w:bCs/>
          <w:snapToGrid w:val="0"/>
          <w:spacing w:val="0"/>
          <w:sz w:val="32"/>
          <w:szCs w:val="32"/>
        </w:rPr>
        <w:t>2.单位职能职责</w:t>
      </w:r>
    </w:p>
    <w:p w14:paraId="626814AC">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bookmarkStart w:id="1" w:name="OLE_LINK2"/>
      <w:r>
        <w:rPr>
          <w:rFonts w:hint="eastAsia" w:ascii="Times New Roman" w:hAnsi="Times New Roman" w:eastAsia="仿宋_GB2312" w:cs="仿宋_GB2312"/>
          <w:snapToGrid w:val="0"/>
          <w:spacing w:val="0"/>
          <w:sz w:val="32"/>
          <w:szCs w:val="32"/>
        </w:rPr>
        <w:t>（一）贯彻落实党和国家卫生健康法律法规和方针政策，拟订卫生健康、中医药事业发展规章草案，统筹规划卫生健康资源配置，拟订县域卫生健康规划并组织实施。拟订并组织实施推进卫生健康基本公共服务均等化、普惠化、便捷化和公共资源向基层延伸等政策措施。</w:t>
      </w:r>
    </w:p>
    <w:p w14:paraId="42F06922">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二）协调推进深化全县医药卫生体制改革，研究提出深化医药卫生体制改革政策、措施的建议。加大公立医院综合改革力度，推进管办分离，落实现代医院管理制度，推动卫生健康公共服务提供主体多元化、方式多样化，提出医疗服务和药品价格政策的建议。</w:t>
      </w:r>
    </w:p>
    <w:p w14:paraId="0991CC5F">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三）制定并组织落实全县疾病预防控制规划、免疫规划、严重危害人民健康公共卫生问题的干预措施。制定全县卫生应急和紧急医疗救援预案、突发公共卫生事件监测和风险评估方案，负责卫生应急工作，组织和指导全县突发公共卫生事件的预防控制和医疗卫生救援，依照程序和要求发布法定报告传染病疫情信息、突发公共卫生事件应急处置信息。</w:t>
      </w:r>
    </w:p>
    <w:p w14:paraId="26778BFE">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（四）组织拟订并协调落实应对人口老龄化政策措施，负责推进全县老年健康服务体系建设和医养结合工作。</w:t>
      </w:r>
    </w:p>
    <w:p w14:paraId="185DFA94">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color w:val="000000"/>
          <w:spacing w:val="0"/>
          <w:sz w:val="32"/>
          <w:szCs w:val="32"/>
        </w:rPr>
      </w:pPr>
      <w:r>
        <w:rPr>
          <w:rFonts w:hint="eastAsia" w:ascii="Times New Roman" w:hAnsi="Times New Roman" w:eastAsia="仿宋_GB2312" w:cs="仿宋_GB2312"/>
          <w:snapToGrid w:val="0"/>
          <w:spacing w:val="0"/>
          <w:sz w:val="32"/>
          <w:szCs w:val="32"/>
        </w:rPr>
        <w:t>（五）贯彻落实国家药物政策和国家基本药物制度，开展药品使用监测、临床综合评价和短缺药品预警，</w:t>
      </w:r>
      <w:r>
        <w:rPr>
          <w:rFonts w:hint="eastAsia" w:ascii="Times New Roman" w:hAnsi="Times New Roman" w:eastAsia="仿宋_GB2312" w:cs="仿宋_GB2312"/>
          <w:snapToGrid w:val="0"/>
          <w:color w:val="000000"/>
          <w:spacing w:val="0"/>
          <w:sz w:val="32"/>
          <w:szCs w:val="32"/>
        </w:rPr>
        <w:t>依据国家基本药物目录及甘肃省药品增补目录，指导落实基本药物的采购、配送、使用政策措施。宣传贯彻和追踪评价食品安全标准，开展食品安全风险监测、评估。</w:t>
      </w:r>
    </w:p>
    <w:p w14:paraId="2F6516C4">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六）负责职责范围内的职业卫生、放射卫生、环境卫生、学校卫生、公共场所卫生、饮用水卫生等公共卫生的监测、调查、评估和监督；负责传染病防治监督，建立健全卫生健康综合监督体系。牵头《烟草控制框架公约》履约工作。</w:t>
      </w:r>
    </w:p>
    <w:p w14:paraId="5791F2E2">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color w:val="000000"/>
          <w:spacing w:val="0"/>
          <w:sz w:val="32"/>
          <w:szCs w:val="32"/>
        </w:rPr>
      </w:pPr>
      <w:r>
        <w:rPr>
          <w:rFonts w:hint="eastAsia" w:ascii="Times New Roman" w:hAnsi="Times New Roman" w:eastAsia="仿宋_GB2312" w:cs="仿宋_GB2312"/>
          <w:snapToGrid w:val="0"/>
          <w:spacing w:val="0"/>
          <w:sz w:val="32"/>
          <w:szCs w:val="32"/>
        </w:rPr>
        <w:t>（七）制定全县医疗机构、医疗服务行业管理办法并监督实施，建立医疗服务评价和监督管理体系。会同有关部门贯彻执行国家卫生专业技术人员资格标准。制定并组织实施医疗机构及其医疗服务、医疗技术、医疗质量、医疗安全以及采供血机构管理的规范、标准，</w:t>
      </w:r>
      <w:r>
        <w:rPr>
          <w:rFonts w:hint="eastAsia" w:ascii="Times New Roman" w:hAnsi="Times New Roman" w:eastAsia="仿宋_GB2312" w:cs="仿宋_GB2312"/>
          <w:snapToGrid w:val="0"/>
          <w:color w:val="000000"/>
          <w:spacing w:val="0"/>
          <w:sz w:val="32"/>
          <w:szCs w:val="32"/>
        </w:rPr>
        <w:t>制定和实施卫生专业技术人员执业规则和服务规范。负责医疗机构安全生产监督管理。负责环境保护相关工作。指导有关协会、学会工作。</w:t>
      </w:r>
    </w:p>
    <w:p w14:paraId="3BF361DD">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color w:val="000000"/>
          <w:spacing w:val="0"/>
          <w:sz w:val="32"/>
          <w:szCs w:val="32"/>
        </w:rPr>
      </w:pPr>
      <w:r>
        <w:rPr>
          <w:rFonts w:hint="eastAsia" w:ascii="Times New Roman" w:hAnsi="Times New Roman" w:eastAsia="仿宋_GB2312" w:cs="仿宋_GB2312"/>
          <w:snapToGrid w:val="0"/>
          <w:spacing w:val="0"/>
          <w:sz w:val="32"/>
          <w:szCs w:val="32"/>
        </w:rPr>
        <w:t>（八）负责全县计划生育管理和服务工作，开展人口监测预警，</w:t>
      </w:r>
      <w:r>
        <w:rPr>
          <w:rFonts w:hint="eastAsia" w:ascii="Times New Roman" w:hAnsi="Times New Roman" w:eastAsia="仿宋_GB2312" w:cs="仿宋_GB2312"/>
          <w:snapToGrid w:val="0"/>
          <w:color w:val="000000"/>
          <w:spacing w:val="0"/>
          <w:sz w:val="32"/>
          <w:szCs w:val="32"/>
        </w:rPr>
        <w:t>研究提出人口与家庭发展相关政策建议。</w:t>
      </w:r>
    </w:p>
    <w:p w14:paraId="30C14A97">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九）拟订并实施全县基层卫生、妇幼健康发展规划和政策措施，指导全县基层卫生、妇幼健康服务体系和全科医生队伍建设。拟订全县卫生健康科技发展规划，组织实施相关科研项目。推进卫生健康科技创新发展。</w:t>
      </w:r>
    </w:p>
    <w:p w14:paraId="5B7DD676">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（十）负责全县卫生健康宣传教育、健康促进和信息化建设等工作，依法组织实施卫生健康统计调查。组织开展卫生健康交流与合作。</w:t>
      </w:r>
    </w:p>
    <w:p w14:paraId="43D54D59">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（十一）制定并组织实施全县中医药事业发展规划。加强医疗机构和公共卫生领域的中医药建设，加大中医药人才培养力度，协调推进中医药服务贸易和中医药相关产业建设。</w:t>
      </w:r>
    </w:p>
    <w:p w14:paraId="760EE42E">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（十二）负责县级保健对象的医疗保健工作，承担全县重大会议和重大活动的医疗卫生保障工作。</w:t>
      </w:r>
    </w:p>
    <w:p w14:paraId="06779606">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（十三）负责公众健康权益保障工作，维护患者在就医过程中的基本权益和老年人合法权益。</w:t>
      </w:r>
    </w:p>
    <w:p w14:paraId="137FC7A5">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（十四）指导山丹县计划生育协会的业务工作。</w:t>
      </w:r>
    </w:p>
    <w:bookmarkEnd w:id="1"/>
    <w:p w14:paraId="5945A3C3">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（十五）完成县委、县政府和上级业务部门交办的其他任务。</w:t>
      </w:r>
    </w:p>
    <w:p w14:paraId="6CDBA020">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cs="仿宋_GB2312"/>
          <w:snapToGrid w:val="0"/>
          <w:spacing w:val="0"/>
          <w:sz w:val="32"/>
          <w:szCs w:val="32"/>
        </w:rPr>
        <w:t>（十六）职能转变。县卫生健康局应加强、优化、统筹全县卫生健康方面的能力建设。牢固树立大卫生、大健康理念，推动实施健康山丹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方式多样化。五是深入推进简政放权。加强对行业内交叉重复以及性质相同、用途相近的卫生项目的统筹整合，最大限度缩小项目审批范围，进一步做好精简下放有关行政审批事项的承接工作，加强事中事后监管。</w:t>
      </w:r>
    </w:p>
    <w:p w14:paraId="34F3160F">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楷体_GB2312"/>
          <w:b/>
          <w:bCs w:val="0"/>
          <w:snapToGrid w:val="0"/>
          <w:spacing w:val="0"/>
          <w:sz w:val="32"/>
          <w:szCs w:val="32"/>
        </w:rPr>
      </w:pPr>
      <w:r>
        <w:rPr>
          <w:rFonts w:hint="eastAsia" w:ascii="Times New Roman" w:hAnsi="Times New Roman" w:eastAsia="楷体_GB2312"/>
          <w:b/>
          <w:bCs w:val="0"/>
          <w:snapToGrid w:val="0"/>
          <w:spacing w:val="0"/>
          <w:sz w:val="32"/>
          <w:szCs w:val="32"/>
        </w:rPr>
        <w:t>（二）年度重点工作</w:t>
      </w:r>
    </w:p>
    <w:p w14:paraId="64100DD1">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b w:val="0"/>
          <w:bCs w:val="0"/>
          <w:snapToGrid w:val="0"/>
          <w:spacing w:val="0"/>
          <w:sz w:val="32"/>
          <w:szCs w:val="32"/>
        </w:rPr>
      </w:pPr>
      <w:r>
        <w:rPr>
          <w:rFonts w:hint="eastAsia" w:ascii="Times New Roman" w:hAnsi="Times New Roman" w:eastAsia="仿宋_GB2312" w:cs="仿宋_GB2312"/>
          <w:b w:val="0"/>
          <w:bCs w:val="0"/>
          <w:snapToGrid w:val="0"/>
          <w:color w:val="000000"/>
          <w:spacing w:val="0"/>
          <w:sz w:val="32"/>
          <w:szCs w:val="32"/>
          <w:lang w:val="en-US" w:eastAsia="zh-CN"/>
        </w:rPr>
        <w:t>1.</w:t>
      </w:r>
      <w:r>
        <w:rPr>
          <w:rFonts w:hint="eastAsia" w:ascii="Times New Roman" w:hAnsi="Times New Roman" w:eastAsia="仿宋_GB2312" w:cs="仿宋_GB2312"/>
          <w:b w:val="0"/>
          <w:bCs w:val="0"/>
          <w:snapToGrid w:val="0"/>
          <w:color w:val="000000"/>
          <w:spacing w:val="0"/>
          <w:sz w:val="32"/>
          <w:szCs w:val="32"/>
        </w:rPr>
        <w:t>以党史学习教育为统领，全面加强党</w:t>
      </w:r>
      <w:r>
        <w:rPr>
          <w:rFonts w:hint="eastAsia" w:ascii="Times New Roman" w:hAnsi="Times New Roman" w:eastAsia="仿宋_GB2312" w:cs="仿宋_GB2312"/>
          <w:b w:val="0"/>
          <w:bCs w:val="0"/>
          <w:snapToGrid w:val="0"/>
          <w:color w:val="000000"/>
          <w:spacing w:val="0"/>
          <w:sz w:val="32"/>
          <w:szCs w:val="32"/>
          <w:lang w:eastAsia="zh-CN"/>
        </w:rPr>
        <w:t>的</w:t>
      </w:r>
      <w:r>
        <w:rPr>
          <w:rFonts w:hint="eastAsia" w:ascii="Times New Roman" w:hAnsi="Times New Roman" w:eastAsia="仿宋_GB2312" w:cs="仿宋_GB2312"/>
          <w:b w:val="0"/>
          <w:bCs w:val="0"/>
          <w:snapToGrid w:val="0"/>
          <w:color w:val="000000"/>
          <w:spacing w:val="0"/>
          <w:sz w:val="32"/>
          <w:szCs w:val="32"/>
        </w:rPr>
        <w:t>建</w:t>
      </w:r>
      <w:r>
        <w:rPr>
          <w:rFonts w:hint="eastAsia" w:ascii="Times New Roman" w:hAnsi="Times New Roman" w:eastAsia="仿宋_GB2312" w:cs="仿宋_GB2312"/>
          <w:b w:val="0"/>
          <w:bCs w:val="0"/>
          <w:snapToGrid w:val="0"/>
          <w:color w:val="000000"/>
          <w:spacing w:val="0"/>
          <w:sz w:val="32"/>
          <w:szCs w:val="32"/>
          <w:lang w:eastAsia="zh-CN"/>
        </w:rPr>
        <w:t>设和</w:t>
      </w:r>
      <w:r>
        <w:rPr>
          <w:rFonts w:hint="eastAsia" w:ascii="Times New Roman" w:hAnsi="Times New Roman" w:eastAsia="仿宋_GB2312" w:cs="仿宋_GB2312"/>
          <w:b w:val="0"/>
          <w:bCs w:val="0"/>
          <w:snapToGrid w:val="0"/>
          <w:color w:val="000000"/>
          <w:spacing w:val="0"/>
          <w:sz w:val="32"/>
          <w:szCs w:val="32"/>
        </w:rPr>
        <w:t>党风廉政建设。</w:t>
      </w:r>
      <w:r>
        <w:rPr>
          <w:rFonts w:hint="eastAsia" w:ascii="Times New Roman" w:hAnsi="Times New Roman" w:eastAsia="仿宋_GB2312" w:cs="仿宋_GB2312"/>
          <w:b w:val="0"/>
          <w:bCs w:val="0"/>
          <w:snapToGrid w:val="0"/>
          <w:color w:val="000000"/>
          <w:spacing w:val="0"/>
          <w:sz w:val="32"/>
          <w:szCs w:val="32"/>
          <w:lang w:val="en-US" w:eastAsia="zh-CN"/>
        </w:rPr>
        <w:t>2.</w:t>
      </w:r>
      <w:r>
        <w:rPr>
          <w:rFonts w:hint="eastAsia" w:ascii="Times New Roman" w:hAnsi="Times New Roman" w:eastAsia="仿宋_GB2312" w:cs="仿宋_GB2312"/>
          <w:b w:val="0"/>
          <w:bCs w:val="0"/>
          <w:snapToGrid w:val="0"/>
          <w:color w:val="000000"/>
          <w:spacing w:val="0"/>
          <w:sz w:val="32"/>
          <w:szCs w:val="32"/>
        </w:rPr>
        <w:t>以“外防输入”为核心，</w:t>
      </w:r>
      <w:r>
        <w:rPr>
          <w:rFonts w:hint="eastAsia" w:ascii="Times New Roman" w:hAnsi="Times New Roman" w:eastAsia="仿宋_GB2312" w:cs="仿宋_GB2312"/>
          <w:b w:val="0"/>
          <w:bCs w:val="0"/>
          <w:snapToGrid w:val="0"/>
          <w:color w:val="000000"/>
          <w:spacing w:val="0"/>
          <w:sz w:val="32"/>
          <w:szCs w:val="32"/>
          <w:lang w:eastAsia="zh-CN"/>
        </w:rPr>
        <w:t>聚力</w:t>
      </w:r>
      <w:r>
        <w:rPr>
          <w:rFonts w:hint="eastAsia" w:ascii="Times New Roman" w:hAnsi="Times New Roman" w:eastAsia="仿宋_GB2312" w:cs="仿宋_GB2312"/>
          <w:b w:val="0"/>
          <w:bCs w:val="0"/>
          <w:snapToGrid w:val="0"/>
          <w:color w:val="000000"/>
          <w:spacing w:val="0"/>
          <w:sz w:val="32"/>
          <w:szCs w:val="32"/>
        </w:rPr>
        <w:t>巩固疫情防控成果。</w:t>
      </w:r>
      <w:r>
        <w:rPr>
          <w:rFonts w:hint="eastAsia" w:ascii="Times New Roman" w:hAnsi="Times New Roman" w:eastAsia="仿宋_GB2312" w:cs="仿宋_GB2312"/>
          <w:b w:val="0"/>
          <w:bCs w:val="0"/>
          <w:snapToGrid w:val="0"/>
          <w:spacing w:val="0"/>
          <w:sz w:val="32"/>
          <w:szCs w:val="32"/>
          <w:lang w:val="en-US" w:eastAsia="zh-CN"/>
        </w:rPr>
        <w:t>3.以落实健康服务为关键，巩固拓展健康扶贫成果。4.</w:t>
      </w:r>
      <w:r>
        <w:rPr>
          <w:rFonts w:hint="eastAsia" w:ascii="Times New Roman" w:hAnsi="Times New Roman" w:eastAsia="仿宋_GB2312" w:cs="仿宋_GB2312"/>
          <w:b w:val="0"/>
          <w:bCs w:val="0"/>
          <w:snapToGrid w:val="0"/>
          <w:spacing w:val="0"/>
          <w:sz w:val="32"/>
          <w:szCs w:val="32"/>
        </w:rPr>
        <w:t>以实现“三转两提高”为目标，不断深化医药卫生体制改革。</w:t>
      </w:r>
      <w:r>
        <w:rPr>
          <w:rFonts w:hint="eastAsia" w:ascii="Times New Roman" w:hAnsi="Times New Roman" w:eastAsia="仿宋_GB2312" w:cs="仿宋_GB2312"/>
          <w:b w:val="0"/>
          <w:bCs w:val="0"/>
          <w:snapToGrid w:val="0"/>
          <w:spacing w:val="0"/>
          <w:sz w:val="32"/>
          <w:szCs w:val="32"/>
          <w:lang w:val="en-US" w:eastAsia="zh-CN"/>
        </w:rPr>
        <w:t>5.以提高健康水平为根本，稳步提升公共卫生服务水平。6.以完善服务基础为推手，着力优化医疗卫生服务质量。7.以发挥特色优势为目的，创新发展中医药事业。8.</w:t>
      </w:r>
      <w:r>
        <w:rPr>
          <w:rFonts w:hint="eastAsia" w:ascii="Times New Roman" w:hAnsi="Times New Roman" w:eastAsia="仿宋_GB2312" w:cs="仿宋_GB2312"/>
          <w:b w:val="0"/>
          <w:bCs w:val="0"/>
          <w:snapToGrid w:val="0"/>
          <w:spacing w:val="0"/>
          <w:sz w:val="32"/>
          <w:szCs w:val="32"/>
        </w:rPr>
        <w:t>以推动均衡发展为遵循，统筹推进各项工作全面进步。</w:t>
      </w:r>
    </w:p>
    <w:p w14:paraId="55CFC7AB">
      <w:pPr>
        <w:keepNext w:val="0"/>
        <w:keepLines w:val="0"/>
        <w:pageBreakBefore w:val="0"/>
        <w:widowControl w:val="0"/>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楷体_GB2312"/>
          <w:b/>
          <w:bCs w:val="0"/>
          <w:snapToGrid w:val="0"/>
          <w:spacing w:val="0"/>
          <w:sz w:val="32"/>
          <w:szCs w:val="32"/>
        </w:rPr>
      </w:pPr>
      <w:r>
        <w:rPr>
          <w:rFonts w:hint="eastAsia" w:ascii="Times New Roman" w:hAnsi="Times New Roman" w:eastAsia="楷体_GB2312"/>
          <w:b/>
          <w:bCs w:val="0"/>
          <w:snapToGrid w:val="0"/>
          <w:spacing w:val="0"/>
          <w:sz w:val="32"/>
          <w:szCs w:val="32"/>
        </w:rPr>
        <w:t>（三）整体收支情况</w:t>
      </w:r>
    </w:p>
    <w:p w14:paraId="4D8066FC">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left="0" w:leftChars="0" w:firstLine="631" w:firstLineChars="150"/>
        <w:jc w:val="both"/>
        <w:textAlignment w:val="auto"/>
        <w:rPr>
          <w:rFonts w:hint="eastAsia" w:ascii="Times New Roman" w:hAnsi="Times New Roman" w:eastAsia="仿宋_GB2312" w:cs="仿宋_GB2312"/>
          <w:snapToGrid w:val="0"/>
          <w:spacing w:val="0"/>
          <w:sz w:val="32"/>
          <w:szCs w:val="32"/>
          <w:lang w:eastAsia="zh-CN"/>
        </w:rPr>
      </w:pPr>
      <w:r>
        <w:rPr>
          <w:rFonts w:hint="eastAsia" w:ascii="Times New Roman" w:hAnsi="Times New Roman" w:eastAsia="仿宋_GB2312" w:cs="仿宋_GB2312"/>
          <w:b/>
          <w:bCs/>
          <w:snapToGrid w:val="0"/>
          <w:spacing w:val="0"/>
          <w:sz w:val="32"/>
          <w:szCs w:val="32"/>
        </w:rPr>
        <w:t>1.收入决算情况</w:t>
      </w:r>
      <w:r>
        <w:rPr>
          <w:rFonts w:hint="eastAsia" w:ascii="Times New Roman" w:hAnsi="Times New Roman" w:eastAsia="仿宋_GB2312" w:cs="仿宋_GB2312"/>
          <w:snapToGrid w:val="0"/>
          <w:spacing w:val="0"/>
          <w:sz w:val="32"/>
          <w:szCs w:val="32"/>
        </w:rPr>
        <w:t>：我局本年度总收入</w:t>
      </w:r>
      <w:r>
        <w:rPr>
          <w:rFonts w:hint="eastAsia" w:ascii="Times New Roman" w:hAnsi="Times New Roman" w:eastAsia="仿宋_GB2312" w:cs="仿宋_GB2312"/>
          <w:snapToGrid w:val="0"/>
          <w:spacing w:val="0"/>
          <w:sz w:val="32"/>
          <w:szCs w:val="32"/>
          <w:lang w:val="en-US" w:eastAsia="zh-CN"/>
        </w:rPr>
        <w:t>2153.43万</w:t>
      </w:r>
      <w:r>
        <w:rPr>
          <w:rFonts w:hint="eastAsia" w:ascii="Times New Roman" w:hAnsi="Times New Roman" w:eastAsia="仿宋_GB2312" w:cs="仿宋_GB2312"/>
          <w:snapToGrid w:val="0"/>
          <w:spacing w:val="0"/>
          <w:sz w:val="32"/>
          <w:szCs w:val="32"/>
        </w:rPr>
        <w:t>元，其中财政拨款</w:t>
      </w:r>
      <w:r>
        <w:rPr>
          <w:rFonts w:hint="eastAsia" w:ascii="Times New Roman" w:hAnsi="Times New Roman" w:eastAsia="仿宋_GB2312" w:cs="仿宋_GB2312"/>
          <w:snapToGrid w:val="0"/>
          <w:spacing w:val="0"/>
          <w:sz w:val="32"/>
          <w:szCs w:val="32"/>
          <w:lang w:val="en-US" w:eastAsia="zh-CN"/>
        </w:rPr>
        <w:t>2153.43万</w:t>
      </w:r>
      <w:r>
        <w:rPr>
          <w:rFonts w:hint="eastAsia" w:ascii="Times New Roman" w:hAnsi="Times New Roman" w:eastAsia="仿宋_GB2312" w:cs="仿宋_GB2312"/>
          <w:snapToGrid w:val="0"/>
          <w:spacing w:val="0"/>
          <w:sz w:val="32"/>
          <w:szCs w:val="32"/>
        </w:rPr>
        <w:t>元</w:t>
      </w:r>
      <w:r>
        <w:rPr>
          <w:rFonts w:hint="eastAsia" w:ascii="Times New Roman" w:hAnsi="Times New Roman" w:eastAsia="仿宋_GB2312" w:cs="仿宋_GB2312"/>
          <w:snapToGrid w:val="0"/>
          <w:spacing w:val="0"/>
          <w:sz w:val="32"/>
          <w:szCs w:val="32"/>
          <w:lang w:eastAsia="zh-CN"/>
        </w:rPr>
        <w:t>。</w:t>
      </w:r>
    </w:p>
    <w:p w14:paraId="3580B531">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left="0" w:leftChars="0" w:firstLine="631" w:firstLineChars="150"/>
        <w:jc w:val="both"/>
        <w:textAlignment w:val="auto"/>
        <w:rPr>
          <w:rFonts w:hint="default" w:ascii="Times New Roman" w:hAnsi="Times New Roman" w:eastAsia="仿宋_GB2312" w:cs="仿宋_GB2312"/>
          <w:snapToGrid w:val="0"/>
          <w:spacing w:val="0"/>
          <w:sz w:val="32"/>
          <w:szCs w:val="32"/>
          <w:lang w:val="en-US" w:eastAsia="zh-CN"/>
        </w:rPr>
      </w:pPr>
      <w:r>
        <w:rPr>
          <w:rFonts w:hint="eastAsia" w:ascii="Times New Roman" w:hAnsi="Times New Roman" w:eastAsia="仿宋_GB2312" w:cs="仿宋_GB2312"/>
          <w:b/>
          <w:bCs/>
          <w:snapToGrid w:val="0"/>
          <w:spacing w:val="0"/>
          <w:sz w:val="32"/>
          <w:szCs w:val="32"/>
        </w:rPr>
        <w:t>2.支出决算情况</w:t>
      </w:r>
      <w:r>
        <w:rPr>
          <w:rFonts w:hint="eastAsia" w:ascii="Times New Roman" w:hAnsi="Times New Roman" w:eastAsia="仿宋_GB2312" w:cs="仿宋_GB2312"/>
          <w:snapToGrid w:val="0"/>
          <w:spacing w:val="0"/>
          <w:sz w:val="32"/>
          <w:szCs w:val="32"/>
          <w:lang w:eastAsia="zh-CN"/>
        </w:rPr>
        <w:t>：</w:t>
      </w:r>
      <w:r>
        <w:rPr>
          <w:rFonts w:hint="eastAsia" w:ascii="Times New Roman" w:hAnsi="Times New Roman" w:eastAsia="仿宋_GB2312" w:cs="仿宋_GB2312"/>
          <w:snapToGrid w:val="0"/>
          <w:spacing w:val="0"/>
          <w:sz w:val="32"/>
          <w:szCs w:val="32"/>
        </w:rPr>
        <w:t>本年度单位总支出</w:t>
      </w:r>
      <w:r>
        <w:rPr>
          <w:rFonts w:hint="eastAsia" w:ascii="Times New Roman" w:hAnsi="Times New Roman" w:eastAsia="仿宋_GB2312" w:cs="仿宋_GB2312"/>
          <w:snapToGrid w:val="0"/>
          <w:spacing w:val="0"/>
          <w:sz w:val="32"/>
          <w:szCs w:val="32"/>
          <w:lang w:val="en-US" w:eastAsia="zh-CN"/>
        </w:rPr>
        <w:t>2153.43万</w:t>
      </w:r>
      <w:r>
        <w:rPr>
          <w:rFonts w:hint="eastAsia" w:ascii="Times New Roman" w:hAnsi="Times New Roman" w:eastAsia="仿宋_GB2312" w:cs="仿宋_GB2312"/>
          <w:snapToGrid w:val="0"/>
          <w:spacing w:val="0"/>
          <w:sz w:val="32"/>
          <w:szCs w:val="32"/>
        </w:rPr>
        <w:t>元，按经济科目分，工资福利支出</w:t>
      </w:r>
      <w:r>
        <w:rPr>
          <w:rFonts w:hint="eastAsia" w:ascii="Times New Roman" w:hAnsi="Times New Roman" w:eastAsia="仿宋_GB2312" w:cs="仿宋_GB2312"/>
          <w:snapToGrid w:val="0"/>
          <w:spacing w:val="0"/>
          <w:sz w:val="32"/>
          <w:szCs w:val="32"/>
          <w:lang w:val="en-US" w:eastAsia="zh-CN"/>
        </w:rPr>
        <w:t>924.76万</w:t>
      </w:r>
      <w:r>
        <w:rPr>
          <w:rFonts w:hint="eastAsia" w:ascii="Times New Roman" w:hAnsi="Times New Roman" w:eastAsia="仿宋_GB2312" w:cs="仿宋_GB2312"/>
          <w:snapToGrid w:val="0"/>
          <w:spacing w:val="0"/>
          <w:sz w:val="32"/>
          <w:szCs w:val="32"/>
        </w:rPr>
        <w:t>元，商品和服务支出</w:t>
      </w:r>
      <w:r>
        <w:rPr>
          <w:rFonts w:hint="eastAsia" w:ascii="Times New Roman" w:hAnsi="Times New Roman" w:eastAsia="仿宋_GB2312" w:cs="仿宋_GB2312"/>
          <w:snapToGrid w:val="0"/>
          <w:spacing w:val="0"/>
          <w:sz w:val="32"/>
          <w:szCs w:val="32"/>
          <w:lang w:val="en-US" w:eastAsia="zh-CN"/>
        </w:rPr>
        <w:t>798.21万</w:t>
      </w:r>
      <w:r>
        <w:rPr>
          <w:rFonts w:hint="eastAsia" w:ascii="Times New Roman" w:hAnsi="Times New Roman" w:eastAsia="仿宋_GB2312" w:cs="仿宋_GB2312"/>
          <w:snapToGrid w:val="0"/>
          <w:spacing w:val="0"/>
          <w:sz w:val="32"/>
          <w:szCs w:val="32"/>
        </w:rPr>
        <w:t>元，对个人和家庭的补助</w:t>
      </w:r>
      <w:r>
        <w:rPr>
          <w:rFonts w:hint="eastAsia" w:ascii="Times New Roman" w:hAnsi="Times New Roman" w:eastAsia="仿宋_GB2312" w:cs="仿宋_GB2312"/>
          <w:snapToGrid w:val="0"/>
          <w:spacing w:val="0"/>
          <w:sz w:val="32"/>
          <w:szCs w:val="32"/>
          <w:lang w:val="en-US" w:eastAsia="zh-CN"/>
        </w:rPr>
        <w:t>427.85万</w:t>
      </w:r>
      <w:r>
        <w:rPr>
          <w:rFonts w:hint="eastAsia" w:ascii="Times New Roman" w:hAnsi="Times New Roman" w:eastAsia="仿宋_GB2312" w:cs="仿宋_GB2312"/>
          <w:snapToGrid w:val="0"/>
          <w:spacing w:val="0"/>
          <w:sz w:val="32"/>
          <w:szCs w:val="32"/>
        </w:rPr>
        <w:t>元。</w:t>
      </w:r>
      <w:r>
        <w:rPr>
          <w:rFonts w:hint="eastAsia" w:ascii="Times New Roman" w:hAnsi="Times New Roman" w:eastAsia="仿宋_GB2312" w:cs="仿宋_GB2312"/>
          <w:snapToGrid w:val="0"/>
          <w:spacing w:val="0"/>
          <w:sz w:val="32"/>
          <w:szCs w:val="32"/>
          <w:lang w:eastAsia="zh-CN"/>
        </w:rPr>
        <w:t>资本性支出</w:t>
      </w:r>
      <w:r>
        <w:rPr>
          <w:rFonts w:hint="eastAsia" w:ascii="Times New Roman" w:hAnsi="Times New Roman" w:eastAsia="仿宋_GB2312" w:cs="仿宋_GB2312"/>
          <w:snapToGrid w:val="0"/>
          <w:spacing w:val="0"/>
          <w:sz w:val="32"/>
          <w:szCs w:val="32"/>
          <w:lang w:val="en-US" w:eastAsia="zh-CN"/>
        </w:rPr>
        <w:t>2.61万元。</w:t>
      </w:r>
    </w:p>
    <w:p w14:paraId="7CB76F0B">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left="0" w:leftChars="0" w:firstLine="631" w:firstLineChars="150"/>
        <w:jc w:val="both"/>
        <w:textAlignment w:val="auto"/>
        <w:rPr>
          <w:rFonts w:hint="eastAsia" w:ascii="Times New Roman" w:hAnsi="Times New Roman" w:eastAsia="黑体"/>
          <w:snapToGrid w:val="0"/>
          <w:spacing w:val="0"/>
          <w:sz w:val="32"/>
          <w:szCs w:val="32"/>
        </w:rPr>
      </w:pPr>
      <w:r>
        <w:rPr>
          <w:rFonts w:hint="eastAsia" w:ascii="Times New Roman" w:hAnsi="Times New Roman" w:eastAsia="黑体"/>
          <w:snapToGrid w:val="0"/>
          <w:spacing w:val="0"/>
          <w:sz w:val="32"/>
          <w:szCs w:val="32"/>
        </w:rPr>
        <w:t>二、整体支出管理及使用情况</w:t>
      </w:r>
    </w:p>
    <w:p w14:paraId="1D7352A0">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left="0" w:leftChars="0" w:firstLine="631" w:firstLineChars="150"/>
        <w:jc w:val="both"/>
        <w:textAlignment w:val="auto"/>
        <w:rPr>
          <w:rFonts w:hint="eastAsia" w:ascii="Times New Roman" w:hAnsi="Times New Roman" w:eastAsia="仿宋_GB2312" w:cs="仿宋_GB2312"/>
          <w:snapToGrid w:val="0"/>
          <w:spacing w:val="0"/>
          <w:sz w:val="32"/>
          <w:szCs w:val="32"/>
          <w:lang w:val="en-US" w:eastAsia="zh-CN"/>
        </w:rPr>
      </w:pPr>
      <w:r>
        <w:rPr>
          <w:rFonts w:hint="eastAsia" w:ascii="Times New Roman" w:hAnsi="Times New Roman" w:eastAsia="楷体_GB2312"/>
          <w:b/>
          <w:bCs w:val="0"/>
          <w:snapToGrid w:val="0"/>
          <w:spacing w:val="0"/>
          <w:sz w:val="32"/>
          <w:szCs w:val="32"/>
        </w:rPr>
        <w:t>（一）基本支出</w:t>
      </w:r>
      <w:r>
        <w:rPr>
          <w:rFonts w:hint="eastAsia" w:ascii="Times New Roman" w:hAnsi="Times New Roman" w:eastAsia="仿宋_GB2312" w:cs="仿宋_GB2312"/>
          <w:snapToGrid w:val="0"/>
          <w:spacing w:val="0"/>
          <w:sz w:val="32"/>
          <w:szCs w:val="32"/>
          <w:lang w:eastAsia="zh-CN"/>
        </w:rPr>
        <w:t>：本年基本支</w:t>
      </w:r>
      <w:r>
        <w:rPr>
          <w:rFonts w:hint="eastAsia" w:ascii="Times New Roman" w:hAnsi="Times New Roman" w:eastAsia="仿宋_GB2312" w:cs="仿宋_GB2312"/>
          <w:snapToGrid w:val="0"/>
          <w:spacing w:val="0"/>
          <w:sz w:val="32"/>
          <w:szCs w:val="32"/>
          <w:lang w:val="en-US" w:eastAsia="zh-CN"/>
        </w:rPr>
        <w:t>出729.76万元，其中人员支出690.42万元，公用经费支出39.34万元。</w:t>
      </w:r>
    </w:p>
    <w:p w14:paraId="21ABE87A">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left="0" w:leftChars="0" w:firstLine="631" w:firstLineChars="150"/>
        <w:jc w:val="both"/>
        <w:textAlignment w:val="auto"/>
        <w:rPr>
          <w:rFonts w:hint="default" w:ascii="Times New Roman" w:hAnsi="Times New Roman" w:eastAsia="仿宋_GB2312" w:cs="仿宋_GB2312"/>
          <w:snapToGrid w:val="0"/>
          <w:spacing w:val="0"/>
          <w:sz w:val="32"/>
          <w:szCs w:val="32"/>
          <w:highlight w:val="none"/>
          <w:lang w:val="en-US" w:eastAsia="zh-CN"/>
        </w:rPr>
      </w:pPr>
      <w:r>
        <w:rPr>
          <w:rFonts w:hint="eastAsia" w:ascii="Times New Roman" w:hAnsi="Times New Roman" w:eastAsia="楷体_GB2312"/>
          <w:b/>
          <w:bCs w:val="0"/>
          <w:snapToGrid w:val="0"/>
          <w:spacing w:val="0"/>
          <w:sz w:val="32"/>
          <w:szCs w:val="32"/>
        </w:rPr>
        <w:t>（二）项目支出</w:t>
      </w:r>
      <w:r>
        <w:rPr>
          <w:rFonts w:hint="eastAsia" w:ascii="Times New Roman" w:hAnsi="Times New Roman" w:eastAsia="仿宋_GB2312" w:cs="仿宋_GB2312"/>
          <w:snapToGrid w:val="0"/>
          <w:spacing w:val="0"/>
          <w:sz w:val="32"/>
          <w:szCs w:val="32"/>
          <w:lang w:eastAsia="zh-CN"/>
        </w:rPr>
        <w:t>：本年项目支出共计</w:t>
      </w:r>
      <w:r>
        <w:rPr>
          <w:rFonts w:hint="eastAsia" w:ascii="Times New Roman" w:hAnsi="Times New Roman" w:eastAsia="仿宋_GB2312" w:cs="仿宋_GB2312"/>
          <w:snapToGrid w:val="0"/>
          <w:spacing w:val="0"/>
          <w:sz w:val="32"/>
          <w:szCs w:val="32"/>
          <w:lang w:val="en-US" w:eastAsia="zh-CN"/>
        </w:rPr>
        <w:t>14236740.59万元，其中爱国卫生县城创建工作经费45240元、城镇职工独生子女父母奖励费11555元、</w:t>
      </w:r>
      <w:r>
        <w:rPr>
          <w:rFonts w:hint="eastAsia" w:ascii="Times New Roman" w:hAnsi="Times New Roman" w:eastAsia="仿宋_GB2312" w:cs="仿宋_GB2312"/>
          <w:snapToGrid w:val="0"/>
          <w:spacing w:val="0"/>
          <w:sz w:val="32"/>
          <w:szCs w:val="32"/>
          <w:highlight w:val="none"/>
          <w:lang w:val="en-US" w:eastAsia="zh-CN"/>
        </w:rPr>
        <w:t>全县干部体检费127191元、2024年基本公共卫生服务补助资金937810元、重大传染病防控经费85200元、疫情防控资金6290318.5元、甘肃全场景疫情病原体检测信息系统建设分摊费用80000元、计划生育专项资金3188435元、75岁以上老人意外伤害保险121100元、80岁以上老人高龄补贴712950元、医务人员临时性工作补助2450000元、其他项目186941.09元。</w:t>
      </w:r>
    </w:p>
    <w:p w14:paraId="6F80EB8B">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left="0" w:leftChars="0" w:firstLine="631" w:firstLineChars="150"/>
        <w:jc w:val="both"/>
        <w:textAlignment w:val="auto"/>
        <w:rPr>
          <w:rFonts w:hint="eastAsia" w:ascii="Times New Roman" w:hAnsi="Times New Roman" w:eastAsia="楷体_GB2312"/>
          <w:b/>
          <w:bCs w:val="0"/>
          <w:snapToGrid w:val="0"/>
          <w:spacing w:val="0"/>
          <w:sz w:val="32"/>
          <w:szCs w:val="32"/>
          <w:lang w:val="en-US" w:eastAsia="zh-CN"/>
        </w:rPr>
      </w:pPr>
      <w:r>
        <w:rPr>
          <w:rFonts w:hint="eastAsia" w:ascii="Times New Roman" w:hAnsi="Times New Roman" w:eastAsia="楷体_GB2312"/>
          <w:b/>
          <w:bCs w:val="0"/>
          <w:snapToGrid w:val="0"/>
          <w:spacing w:val="0"/>
          <w:sz w:val="32"/>
          <w:szCs w:val="32"/>
          <w:lang w:val="en-US" w:eastAsia="zh-CN"/>
        </w:rPr>
        <w:t>（三)“三公”经费支出情况</w:t>
      </w:r>
    </w:p>
    <w:p w14:paraId="61875F1A">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firstLine="631" w:firstLineChars="150"/>
        <w:jc w:val="both"/>
        <w:textAlignment w:val="auto"/>
        <w:rPr>
          <w:rFonts w:hint="eastAsia" w:ascii="Times New Roman" w:hAnsi="Times New Roman" w:eastAsia="仿宋_GB2312" w:cs="仿宋_GB2312"/>
          <w:snapToGrid w:val="0"/>
          <w:spacing w:val="0"/>
          <w:sz w:val="32"/>
          <w:szCs w:val="32"/>
          <w:lang w:val="en-US" w:eastAsia="zh-CN"/>
        </w:rPr>
      </w:pPr>
      <w:r>
        <w:rPr>
          <w:rFonts w:hint="eastAsia" w:ascii="Times New Roman" w:hAnsi="Times New Roman" w:eastAsia="仿宋_GB2312" w:cs="仿宋_GB2312"/>
          <w:snapToGrid w:val="0"/>
          <w:spacing w:val="0"/>
          <w:sz w:val="32"/>
          <w:szCs w:val="32"/>
          <w:lang w:val="en-US" w:eastAsia="zh-CN"/>
        </w:rPr>
        <w:t>严控“三公经费”的使用，我局严格按照县纪委、县财政局、县审计局有关公务用车管理办法、公务接待工作管理办法和因公出国管理规定，规范了“三公经费”开支。公车改革后，我局没有公务车辆。“三公经费”中，公务接待费支出6650元，无出国（境）费用。</w:t>
      </w:r>
    </w:p>
    <w:p w14:paraId="3A0AB106">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left="0" w:leftChars="0" w:firstLine="631" w:firstLineChars="150"/>
        <w:jc w:val="both"/>
        <w:textAlignment w:val="auto"/>
        <w:rPr>
          <w:rFonts w:hint="eastAsia" w:ascii="Times New Roman" w:hAnsi="Times New Roman" w:eastAsia="楷体_GB2312"/>
          <w:b/>
          <w:bCs w:val="0"/>
          <w:snapToGrid w:val="0"/>
          <w:spacing w:val="0"/>
          <w:sz w:val="32"/>
          <w:szCs w:val="32"/>
          <w:lang w:val="en-US" w:eastAsia="zh-CN"/>
        </w:rPr>
      </w:pPr>
      <w:r>
        <w:rPr>
          <w:rFonts w:hint="eastAsia" w:ascii="Times New Roman" w:hAnsi="Times New Roman" w:eastAsia="楷体_GB2312"/>
          <w:b/>
          <w:bCs w:val="0"/>
          <w:snapToGrid w:val="0"/>
          <w:spacing w:val="0"/>
          <w:sz w:val="32"/>
          <w:szCs w:val="32"/>
          <w:lang w:val="en-US" w:eastAsia="zh-CN"/>
        </w:rPr>
        <w:t>（四）支出管理情况</w:t>
      </w:r>
    </w:p>
    <w:p w14:paraId="1D6D0D5B">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firstLine="631" w:firstLineChars="150"/>
        <w:jc w:val="both"/>
        <w:textAlignment w:val="auto"/>
        <w:rPr>
          <w:rFonts w:hint="eastAsia" w:ascii="Times New Roman" w:hAnsi="Times New Roman" w:eastAsia="仿宋_GB2312" w:cs="仿宋_GB2312"/>
          <w:snapToGrid w:val="0"/>
          <w:spacing w:val="0"/>
          <w:sz w:val="32"/>
          <w:szCs w:val="32"/>
          <w:lang w:val="en-US" w:eastAsia="zh-CN"/>
        </w:rPr>
      </w:pPr>
      <w:r>
        <w:rPr>
          <w:rFonts w:hint="eastAsia" w:ascii="Times New Roman" w:hAnsi="Times New Roman" w:eastAsia="仿宋_GB2312" w:cs="仿宋_GB2312"/>
          <w:snapToGrid w:val="0"/>
          <w:spacing w:val="0"/>
          <w:sz w:val="32"/>
          <w:szCs w:val="32"/>
          <w:lang w:val="en-US" w:eastAsia="zh-CN"/>
        </w:rPr>
        <w:t>我局基本支出的范围和主要用途包括部门的人员经费和日常公用经费。具体包括：工资福利支出、对个人和家庭的补助、商品和服务支出、其他资本性支出。基本支出的管理和使用都严格执行财务支出管理制度。</w:t>
      </w:r>
    </w:p>
    <w:p w14:paraId="24966AE3">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left="0" w:leftChars="0" w:firstLine="631" w:firstLineChars="150"/>
        <w:jc w:val="both"/>
        <w:textAlignment w:val="auto"/>
        <w:rPr>
          <w:rFonts w:hint="eastAsia" w:ascii="Times New Roman" w:hAnsi="Times New Roman" w:eastAsia="楷体_GB2312"/>
          <w:b/>
          <w:bCs w:val="0"/>
          <w:snapToGrid w:val="0"/>
          <w:spacing w:val="0"/>
          <w:sz w:val="32"/>
          <w:szCs w:val="32"/>
          <w:lang w:val="en-US" w:eastAsia="zh-CN"/>
        </w:rPr>
      </w:pPr>
      <w:r>
        <w:rPr>
          <w:rFonts w:hint="eastAsia" w:ascii="Times New Roman" w:hAnsi="Times New Roman" w:eastAsia="楷体_GB2312"/>
          <w:b/>
          <w:bCs w:val="0"/>
          <w:snapToGrid w:val="0"/>
          <w:spacing w:val="0"/>
          <w:sz w:val="32"/>
          <w:szCs w:val="32"/>
          <w:lang w:val="en-US" w:eastAsia="zh-CN"/>
        </w:rPr>
        <w:t>（五）资产管理情况</w:t>
      </w:r>
    </w:p>
    <w:p w14:paraId="3B3610EB">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left="0" w:leftChars="0" w:firstLine="631" w:firstLineChars="150"/>
        <w:jc w:val="both"/>
        <w:textAlignment w:val="auto"/>
        <w:rPr>
          <w:rFonts w:hint="eastAsia" w:ascii="Times New Roman" w:hAnsi="Times New Roman" w:eastAsia="仿宋_GB2312" w:cs="仿宋_GB2312"/>
          <w:snapToGrid w:val="0"/>
          <w:spacing w:val="0"/>
          <w:sz w:val="32"/>
          <w:szCs w:val="32"/>
          <w:lang w:val="en-US" w:eastAsia="zh-CN"/>
        </w:rPr>
      </w:pPr>
      <w:r>
        <w:rPr>
          <w:rFonts w:hint="eastAsia" w:ascii="Times New Roman" w:hAnsi="Times New Roman" w:eastAsia="仿宋_GB2312" w:cs="仿宋_GB2312"/>
          <w:snapToGrid w:val="0"/>
          <w:spacing w:val="0"/>
          <w:sz w:val="32"/>
          <w:szCs w:val="32"/>
          <w:lang w:val="en-US" w:eastAsia="zh-CN"/>
        </w:rPr>
        <w:t>本单位加强内部管理进一步理顺资产管理体制，加强资产管理制度建设和工作机制，加大固定资产投资。单位逐步理顺了国有资产管理的体制机制，按照“统一领导，归口管理、分级负责、责任到人、科学配置、管用结合、物尽其用”的原则，实行所有权和使用权分离，使我局资产管理行为有章可循。本单位资产的管理使用力求做到“购置有计划并按程序审批，验收严肃认真，使用保管有专人，变动有手续，既保证需要，又防止浪费”。资产的增添贯彻勤俭节约的方针，充分考虑单位的需要和财力，尽量避免资产闲置和重复购置的情况出现，力争做到“优质低价、合理布局、统筹安排、突出重点”。加强内部学习和培训，通过决算和固定资产决算，做到账表一致。</w:t>
      </w:r>
    </w:p>
    <w:p w14:paraId="4CB61D4B">
      <w:pPr>
        <w:keepNext w:val="0"/>
        <w:keepLines w:val="0"/>
        <w:pageBreakBefore w:val="0"/>
        <w:widowControl w:val="0"/>
        <w:numPr>
          <w:ilvl w:val="0"/>
          <w:numId w:val="1"/>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firstLine="631" w:firstLineChars="150"/>
        <w:jc w:val="both"/>
        <w:textAlignment w:val="auto"/>
        <w:rPr>
          <w:rFonts w:hint="eastAsia" w:ascii="Times New Roman" w:hAnsi="Times New Roman" w:eastAsia="黑体" w:cs="黑体"/>
          <w:snapToGrid w:val="0"/>
          <w:spacing w:val="0"/>
          <w:sz w:val="32"/>
          <w:szCs w:val="32"/>
          <w:lang w:val="en-US" w:eastAsia="zh-CN"/>
        </w:rPr>
      </w:pPr>
      <w:r>
        <w:rPr>
          <w:rFonts w:hint="eastAsia" w:ascii="Times New Roman" w:hAnsi="Times New Roman" w:eastAsia="黑体" w:cs="黑体"/>
          <w:snapToGrid w:val="0"/>
          <w:spacing w:val="0"/>
          <w:sz w:val="32"/>
          <w:szCs w:val="32"/>
          <w:lang w:val="en-US" w:eastAsia="zh-CN"/>
        </w:rPr>
        <w:t>整体支出绩效情况</w:t>
      </w:r>
    </w:p>
    <w:p w14:paraId="7687C634">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adjustRightInd w:val="0"/>
        <w:snapToGrid w:val="0"/>
        <w:spacing w:after="0" w:line="587" w:lineRule="exact"/>
        <w:ind w:firstLine="631" w:firstLineChars="150"/>
        <w:jc w:val="both"/>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仿宋_GB2312"/>
          <w:snapToGrid w:val="0"/>
          <w:spacing w:val="0"/>
          <w:sz w:val="32"/>
          <w:szCs w:val="32"/>
        </w:rPr>
        <w:t>202</w:t>
      </w:r>
      <w:r>
        <w:rPr>
          <w:rFonts w:hint="eastAsia" w:ascii="Times New Roman" w:hAnsi="Times New Roman" w:eastAsia="仿宋_GB2312"/>
          <w:snapToGrid w:val="0"/>
          <w:spacing w:val="0"/>
          <w:sz w:val="32"/>
          <w:szCs w:val="32"/>
          <w:lang w:val="en-US" w:eastAsia="zh-CN"/>
        </w:rPr>
        <w:t>3</w:t>
      </w:r>
      <w:r>
        <w:rPr>
          <w:rFonts w:hint="eastAsia" w:ascii="Times New Roman" w:hAnsi="Times New Roman" w:eastAsia="仿宋_GB2312"/>
          <w:snapToGrid w:val="0"/>
          <w:spacing w:val="0"/>
          <w:sz w:val="32"/>
          <w:szCs w:val="32"/>
        </w:rPr>
        <w:t>年，</w:t>
      </w:r>
      <w:r>
        <w:rPr>
          <w:rFonts w:ascii="Times New Roman" w:hAnsi="Times New Roman" w:eastAsia="仿宋_GB2312" w:cs="仿宋_GB2312"/>
          <w:snapToGrid w:val="0"/>
          <w:spacing w:val="0"/>
          <w:sz w:val="32"/>
          <w:szCs w:val="32"/>
        </w:rPr>
        <w:t>全县卫生健康工作在县委、县政府的坚强领导下，</w:t>
      </w:r>
      <w:r>
        <w:rPr>
          <w:rFonts w:hint="eastAsia" w:ascii="仿宋_GB2312" w:hAnsi="仿宋_GB2312" w:eastAsia="仿宋_GB2312" w:cs="仿宋_GB2312"/>
          <w:snapToGrid w:val="0"/>
          <w:spacing w:val="0"/>
          <w:sz w:val="32"/>
          <w:szCs w:val="32"/>
          <w:lang w:val="en-US" w:eastAsia="zh-CN"/>
        </w:rPr>
        <w:t>在县委、县政府的坚强领导下，全系统各单位和广大干部职工始终把人民群众生命安全和身体健康放在首位，以昂扬向上的精神状态履职尽责，以苦干实干的工作作风干事创业，在急难险重任务面前，敢挑重任、敢为人先，攻坚克难、尽锐出战，各项重点工作任务向着既定目标奋力迈进，卫生健康事业可持续高质量发展势头正劲，为全县新冠肺炎疫情防控取得阶段性胜利和加快推进“健康山丹”建设发挥了积极作用、贡献了卫健力量。</w:t>
      </w:r>
      <w:r>
        <w:rPr>
          <w:rFonts w:hint="eastAsia" w:ascii="Times New Roman" w:hAnsi="Times New Roman" w:eastAsia="仿宋_GB2312" w:cs="仿宋_GB2312"/>
          <w:snapToGrid w:val="0"/>
          <w:spacing w:val="0"/>
          <w:sz w:val="32"/>
          <w:szCs w:val="32"/>
        </w:rPr>
        <w:t>全县卫生健康事业呈现健康快速发展的良好态势。</w:t>
      </w:r>
    </w:p>
    <w:p w14:paraId="33C153DE">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黑体"/>
          <w:snapToGrid w:val="0"/>
          <w:spacing w:val="0"/>
          <w:sz w:val="32"/>
          <w:szCs w:val="32"/>
        </w:rPr>
      </w:pPr>
      <w:r>
        <w:rPr>
          <w:rFonts w:hint="eastAsia" w:ascii="Times New Roman" w:hAnsi="Times New Roman" w:eastAsia="黑体"/>
          <w:snapToGrid w:val="0"/>
          <w:spacing w:val="0"/>
          <w:sz w:val="32"/>
          <w:szCs w:val="32"/>
        </w:rPr>
        <w:t>四、存在的问题</w:t>
      </w:r>
    </w:p>
    <w:p w14:paraId="4C2C7DCC">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adjustRightInd w:val="0"/>
        <w:snapToGrid w:val="0"/>
        <w:spacing w:line="587" w:lineRule="exact"/>
        <w:ind w:firstLine="631" w:firstLineChars="150"/>
        <w:textAlignment w:val="auto"/>
        <w:rPr>
          <w:rFonts w:hint="eastAsia" w:ascii="Times New Roman" w:hAnsi="Times New Roman" w:eastAsia="仿宋_GB2312" w:cs="仿宋_GB2312"/>
          <w:snapToGrid w:val="0"/>
          <w:color w:val="000000"/>
          <w:spacing w:val="0"/>
          <w:sz w:val="32"/>
          <w:szCs w:val="32"/>
        </w:rPr>
      </w:pPr>
      <w:r>
        <w:rPr>
          <w:rFonts w:hint="eastAsia" w:ascii="Times New Roman" w:hAnsi="Times New Roman" w:eastAsia="楷体_GB2312"/>
          <w:b/>
          <w:bCs w:val="0"/>
          <w:snapToGrid w:val="0"/>
          <w:spacing w:val="0"/>
          <w:sz w:val="32"/>
          <w:szCs w:val="32"/>
          <w:lang w:val="en-US" w:eastAsia="zh-CN"/>
        </w:rPr>
        <w:t>（一）医疗卫生资源配置不够均衡。</w:t>
      </w:r>
      <w:r>
        <w:rPr>
          <w:rFonts w:hint="eastAsia" w:ascii="Times New Roman" w:hAnsi="Times New Roman" w:eastAsia="仿宋_GB2312" w:cs="仿宋_GB2312"/>
          <w:snapToGrid w:val="0"/>
          <w:color w:val="000000"/>
          <w:spacing w:val="0"/>
          <w:sz w:val="32"/>
          <w:szCs w:val="32"/>
        </w:rPr>
        <w:t>城乡之间卫生事业发展不平衡，医疗与预防保健之间、中医与西医之间发展不协调。民营医疗机构发展滞后，缺少有效竞争。公共卫生体系基础较为薄弱，缺乏专业人才。各部门间的应急配合衔接不及时，程序不流畅，突发公共卫生事件及时有效处理的协调机制还需进一步健全完善。</w:t>
      </w:r>
    </w:p>
    <w:p w14:paraId="7ACF2987">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color w:val="000000"/>
          <w:spacing w:val="0"/>
          <w:sz w:val="32"/>
          <w:szCs w:val="32"/>
        </w:rPr>
      </w:pPr>
      <w:r>
        <w:rPr>
          <w:rFonts w:hint="eastAsia" w:ascii="Times New Roman" w:hAnsi="Times New Roman" w:eastAsia="楷体_GB2312"/>
          <w:b/>
          <w:bCs w:val="0"/>
          <w:snapToGrid w:val="0"/>
          <w:spacing w:val="0"/>
          <w:sz w:val="32"/>
          <w:szCs w:val="32"/>
          <w:lang w:val="en-US" w:eastAsia="zh-CN"/>
        </w:rPr>
        <w:t>（二）人才队伍建设相对滞后</w:t>
      </w:r>
      <w:r>
        <w:rPr>
          <w:rFonts w:hint="eastAsia" w:ascii="Times New Roman" w:hAnsi="Times New Roman" w:eastAsia="楷体_GB2312" w:cs="楷体_GB2312"/>
          <w:b/>
          <w:bCs/>
          <w:snapToGrid w:val="0"/>
          <w:spacing w:val="0"/>
          <w:sz w:val="32"/>
          <w:szCs w:val="32"/>
        </w:rPr>
        <w:t>。</w:t>
      </w:r>
      <w:r>
        <w:rPr>
          <w:rFonts w:hint="eastAsia" w:ascii="Times New Roman" w:hAnsi="Times New Roman" w:eastAsia="仿宋_GB2312" w:cs="仿宋_GB2312"/>
          <w:snapToGrid w:val="0"/>
          <w:color w:val="000000"/>
          <w:spacing w:val="0"/>
          <w:sz w:val="32"/>
          <w:szCs w:val="32"/>
        </w:rPr>
        <w:t>二级以上医疗机构高、精、尖卫生技术人才团队缺乏的现状还未从根本上改变，优秀医学院校毕业生招不来、下不去、留不住的现象比较突出，乡村两级卫生专业人才断档严重，新老更新不及时，总体专业素质和专业水平偏低，无法满足全县卫生健康事业高质量发展需求。</w:t>
      </w:r>
    </w:p>
    <w:p w14:paraId="6EA965FD">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楷体_GB2312"/>
          <w:b/>
          <w:bCs w:val="0"/>
          <w:snapToGrid w:val="0"/>
          <w:spacing w:val="0"/>
          <w:sz w:val="32"/>
          <w:szCs w:val="32"/>
          <w:lang w:val="en-US" w:eastAsia="zh-CN"/>
        </w:rPr>
        <w:t>（三）医保政策衔接配套不到位。</w:t>
      </w:r>
      <w:r>
        <w:rPr>
          <w:rFonts w:hint="eastAsia" w:ascii="Times New Roman" w:hAnsi="Times New Roman" w:eastAsia="仿宋_GB2312" w:cs="仿宋_GB2312"/>
          <w:snapToGrid w:val="0"/>
          <w:spacing w:val="0"/>
          <w:sz w:val="32"/>
          <w:szCs w:val="32"/>
        </w:rPr>
        <w:t>随着群众就医需求的不断增加，加之我县各医疗机构均实行“先诊疗、后付费”制度，导致医保资金超支情况严重，在医保资金总额控制的情况下，住院病人不能即时结报，导致了新的医患矛盾产生。</w:t>
      </w:r>
    </w:p>
    <w:p w14:paraId="08C9D8F2">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snapToGrid w:val="0"/>
          <w:spacing w:val="0"/>
          <w:sz w:val="32"/>
          <w:szCs w:val="32"/>
        </w:rPr>
      </w:pPr>
      <w:r>
        <w:rPr>
          <w:rFonts w:hint="eastAsia" w:ascii="Times New Roman" w:hAnsi="Times New Roman" w:eastAsia="楷体_GB2312"/>
          <w:b/>
          <w:bCs w:val="0"/>
          <w:snapToGrid w:val="0"/>
          <w:spacing w:val="0"/>
          <w:sz w:val="32"/>
          <w:szCs w:val="32"/>
          <w:lang w:val="en-US" w:eastAsia="zh-CN"/>
        </w:rPr>
        <w:t>（四）中医药服务能力仍需进一步提升</w:t>
      </w:r>
      <w:r>
        <w:rPr>
          <w:rFonts w:hint="eastAsia" w:ascii="Times New Roman" w:hAnsi="Times New Roman" w:eastAsia="楷体_GB2312" w:cs="楷体_GB2312"/>
          <w:b/>
          <w:bCs/>
          <w:snapToGrid w:val="0"/>
          <w:spacing w:val="0"/>
          <w:sz w:val="32"/>
          <w:szCs w:val="32"/>
        </w:rPr>
        <w:t>。</w:t>
      </w:r>
      <w:r>
        <w:rPr>
          <w:rFonts w:hint="eastAsia" w:ascii="Times New Roman" w:hAnsi="Times New Roman" w:eastAsia="仿宋_GB2312" w:cs="仿宋_GB2312"/>
          <w:snapToGrid w:val="0"/>
          <w:spacing w:val="0"/>
          <w:sz w:val="32"/>
          <w:szCs w:val="32"/>
        </w:rPr>
        <w:t>全县中医特色优势专科建设成效不高，具有丰富实践经验、在业内有较高声誉的中医药人才严重缺乏，中医治未病服务能力、中西医结合临床协作能力不够，中医药防病治病作用发挥不好。</w:t>
      </w:r>
    </w:p>
    <w:p w14:paraId="6F2B6C81">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黑体"/>
          <w:snapToGrid w:val="0"/>
          <w:spacing w:val="0"/>
          <w:sz w:val="32"/>
          <w:szCs w:val="32"/>
        </w:rPr>
      </w:pPr>
      <w:r>
        <w:rPr>
          <w:rFonts w:hint="eastAsia" w:ascii="Times New Roman" w:hAnsi="Times New Roman" w:eastAsia="黑体"/>
          <w:snapToGrid w:val="0"/>
          <w:spacing w:val="0"/>
          <w:sz w:val="32"/>
          <w:szCs w:val="32"/>
        </w:rPr>
        <w:t>五、下一步改进工作的措施</w:t>
      </w:r>
    </w:p>
    <w:p w14:paraId="7EDCE1A5">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cs="仿宋_GB2312"/>
          <w:b w:val="0"/>
          <w:bCs/>
          <w:snapToGrid w:val="0"/>
          <w:spacing w:val="0"/>
          <w:sz w:val="32"/>
          <w:szCs w:val="32"/>
          <w:lang w:val="en-US" w:eastAsia="zh-CN"/>
        </w:rPr>
      </w:pPr>
      <w:r>
        <w:rPr>
          <w:rFonts w:hint="eastAsia" w:ascii="Times New Roman" w:hAnsi="Times New Roman" w:eastAsia="仿宋_GB2312"/>
          <w:snapToGrid w:val="0"/>
          <w:spacing w:val="0"/>
          <w:sz w:val="32"/>
          <w:szCs w:val="32"/>
        </w:rPr>
        <w:t>下一步，我们将</w:t>
      </w:r>
      <w:r>
        <w:rPr>
          <w:rFonts w:hint="eastAsia" w:ascii="Times New Roman" w:hAnsi="Times New Roman" w:eastAsia="仿宋_GB2312" w:cs="仿宋_GB2312"/>
          <w:b w:val="0"/>
          <w:bCs/>
          <w:snapToGrid w:val="0"/>
          <w:spacing w:val="0"/>
          <w:sz w:val="32"/>
          <w:szCs w:val="32"/>
          <w:lang w:val="en-US" w:eastAsia="zh-CN"/>
        </w:rPr>
        <w:t>全面贯彻落实党的十九届六中全会精神，深入贯彻落实习近平总书记对甘肃重要讲话和指示精神，紧紧围绕县委县政府总体工作部署，踔厉奋发、笃行不怠，埋头苦干、勇毅前行，以起步就是冲刺，开局就是决战的决心和勇气，</w:t>
      </w:r>
      <w:r>
        <w:rPr>
          <w:rFonts w:hint="eastAsia" w:ascii="Times New Roman" w:hAnsi="Times New Roman" w:eastAsia="仿宋_GB2312"/>
          <w:snapToGrid w:val="0"/>
          <w:spacing w:val="0"/>
          <w:sz w:val="32"/>
          <w:szCs w:val="32"/>
        </w:rPr>
        <w:t>进一步</w:t>
      </w:r>
      <w:r>
        <w:rPr>
          <w:rFonts w:ascii="Times New Roman" w:hAnsi="Times New Roman" w:eastAsia="仿宋_GB2312"/>
          <w:snapToGrid w:val="0"/>
          <w:spacing w:val="0"/>
          <w:sz w:val="32"/>
          <w:szCs w:val="32"/>
        </w:rPr>
        <w:t>补短板、强弱项，</w:t>
      </w:r>
      <w:r>
        <w:rPr>
          <w:rFonts w:hint="eastAsia" w:ascii="Times New Roman" w:hAnsi="Times New Roman" w:eastAsia="仿宋_GB2312" w:cs="仿宋_GB2312"/>
          <w:b w:val="0"/>
          <w:bCs/>
          <w:snapToGrid w:val="0"/>
          <w:spacing w:val="0"/>
          <w:sz w:val="32"/>
          <w:szCs w:val="32"/>
          <w:lang w:val="en-US" w:eastAsia="zh-CN"/>
        </w:rPr>
        <w:t>持续推动全县卫生健康事业高质量发展。</w:t>
      </w:r>
    </w:p>
    <w:p w14:paraId="49147DA7">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snapToGrid w:val="0"/>
          <w:spacing w:val="0"/>
          <w:sz w:val="32"/>
          <w:szCs w:val="32"/>
        </w:rPr>
      </w:pPr>
      <w:r>
        <w:rPr>
          <w:rFonts w:hint="eastAsia" w:ascii="Times New Roman" w:hAnsi="Times New Roman" w:eastAsia="仿宋_GB2312"/>
          <w:b/>
          <w:bCs/>
          <w:snapToGrid w:val="0"/>
          <w:spacing w:val="0"/>
          <w:sz w:val="32"/>
          <w:szCs w:val="32"/>
          <w:lang w:eastAsia="zh-CN"/>
        </w:rPr>
        <w:t>一是</w:t>
      </w:r>
      <w:r>
        <w:rPr>
          <w:rFonts w:hint="eastAsia" w:ascii="Times New Roman" w:hAnsi="Times New Roman" w:eastAsia="仿宋_GB2312"/>
          <w:snapToGrid w:val="0"/>
          <w:spacing w:val="0"/>
          <w:sz w:val="32"/>
          <w:szCs w:val="32"/>
        </w:rPr>
        <w:t>科学合理编制预算，严格执行预算</w:t>
      </w:r>
      <w:r>
        <w:rPr>
          <w:rFonts w:hint="eastAsia" w:ascii="Times New Roman" w:hAnsi="Times New Roman" w:eastAsia="仿宋_GB2312"/>
          <w:snapToGrid w:val="0"/>
          <w:spacing w:val="0"/>
          <w:sz w:val="32"/>
          <w:szCs w:val="32"/>
          <w:lang w:eastAsia="zh-CN"/>
        </w:rPr>
        <w:t>。</w:t>
      </w:r>
      <w:r>
        <w:rPr>
          <w:rFonts w:hint="eastAsia" w:ascii="Times New Roman" w:hAnsi="Times New Roman" w:eastAsia="仿宋_GB2312"/>
          <w:snapToGrid w:val="0"/>
          <w:spacing w:val="0"/>
          <w:sz w:val="32"/>
          <w:szCs w:val="32"/>
        </w:rPr>
        <w:t>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14:paraId="1B4A4252">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snapToGrid w:val="0"/>
          <w:spacing w:val="0"/>
          <w:sz w:val="32"/>
          <w:szCs w:val="32"/>
        </w:rPr>
      </w:pPr>
      <w:r>
        <w:rPr>
          <w:rFonts w:hint="eastAsia" w:ascii="Times New Roman" w:hAnsi="Times New Roman" w:eastAsia="仿宋_GB2312"/>
          <w:b/>
          <w:bCs/>
          <w:snapToGrid w:val="0"/>
          <w:spacing w:val="0"/>
          <w:sz w:val="32"/>
          <w:szCs w:val="32"/>
          <w:lang w:eastAsia="zh-CN"/>
        </w:rPr>
        <w:t>二是</w:t>
      </w:r>
      <w:r>
        <w:rPr>
          <w:rFonts w:hint="eastAsia" w:ascii="Times New Roman" w:hAnsi="Times New Roman" w:eastAsia="仿宋_GB2312"/>
          <w:snapToGrid w:val="0"/>
          <w:spacing w:val="0"/>
          <w:sz w:val="32"/>
          <w:szCs w:val="32"/>
          <w:lang w:eastAsia="zh-CN"/>
        </w:rPr>
        <w:t>完善管理制度，进一步加强资产管理。进一步贯彻落实中央</w:t>
      </w:r>
      <w:bookmarkStart w:id="2" w:name="_GoBack"/>
      <w:bookmarkEnd w:id="2"/>
      <w:r>
        <w:rPr>
          <w:rFonts w:hint="eastAsia" w:ascii="Times New Roman" w:hAnsi="Times New Roman" w:eastAsia="仿宋_GB2312"/>
          <w:snapToGrid w:val="0"/>
          <w:spacing w:val="0"/>
          <w:sz w:val="32"/>
          <w:szCs w:val="32"/>
          <w:lang w:eastAsia="zh-CN"/>
        </w:rPr>
        <w:t>八项规定，建立本部门“三公经费”等公务支出管理制度及厉行节约制度</w:t>
      </w:r>
      <w:r>
        <w:rPr>
          <w:rFonts w:hint="eastAsia" w:ascii="Times New Roman" w:hAnsi="Times New Roman" w:eastAsia="仿宋_GB2312"/>
          <w:snapToGrid w:val="0"/>
          <w:spacing w:val="0"/>
          <w:sz w:val="32"/>
          <w:szCs w:val="32"/>
        </w:rPr>
        <w:t>，加强经费审批和控制，规范支出标准与范围，并严格执行。严格按照《固定资产管理办法》的规定加强固定资产管理，及时登记、更新台账，加强资产卡片管理，年终前对各类实物资产进行全面盘点，确保账账、账实相符。</w:t>
      </w:r>
    </w:p>
    <w:p w14:paraId="590C8579">
      <w:pPr>
        <w:keepNext w:val="0"/>
        <w:keepLines w:val="0"/>
        <w:pageBreakBefore w:val="0"/>
        <w:widowControl w:val="0"/>
        <w:pBdr>
          <w:bottom w:val="single" w:color="FFFFFF" w:sz="4" w:space="31"/>
        </w:pBdr>
        <w:tabs>
          <w:tab w:val="left" w:pos="8050"/>
          <w:tab w:val="left" w:pos="8094"/>
        </w:tabs>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仿宋_GB2312"/>
          <w:snapToGrid w:val="0"/>
          <w:spacing w:val="0"/>
          <w:sz w:val="32"/>
          <w:szCs w:val="32"/>
        </w:rPr>
      </w:pPr>
      <w:r>
        <w:rPr>
          <w:rFonts w:hint="eastAsia" w:ascii="Times New Roman" w:hAnsi="Times New Roman" w:eastAsia="仿宋_GB2312"/>
          <w:b/>
          <w:bCs/>
          <w:snapToGrid w:val="0"/>
          <w:spacing w:val="0"/>
          <w:sz w:val="32"/>
          <w:szCs w:val="32"/>
          <w:lang w:eastAsia="zh-CN"/>
        </w:rPr>
        <w:t>三是</w:t>
      </w:r>
      <w:r>
        <w:rPr>
          <w:rFonts w:hint="eastAsia" w:ascii="Times New Roman" w:hAnsi="Times New Roman" w:eastAsia="仿宋_GB2312"/>
          <w:snapToGrid w:val="0"/>
          <w:spacing w:val="0"/>
          <w:sz w:val="32"/>
          <w:szCs w:val="32"/>
        </w:rPr>
        <w:t>制定和完善基本支出、项目支出等各项支出标准，严格按项目和进度执行预算，增强预算的约束力和严肃性。</w:t>
      </w:r>
      <w:r>
        <w:rPr>
          <w:rFonts w:hint="eastAsia" w:ascii="Times New Roman" w:hAnsi="Times New Roman" w:eastAsia="仿宋_GB2312"/>
          <w:snapToGrid w:val="0"/>
          <w:spacing w:val="0"/>
          <w:sz w:val="32"/>
          <w:szCs w:val="32"/>
          <w:lang w:eastAsia="zh-CN"/>
        </w:rPr>
        <w:t>同时</w:t>
      </w:r>
      <w:r>
        <w:rPr>
          <w:rFonts w:hint="eastAsia" w:ascii="Times New Roman" w:hAnsi="Times New Roman" w:eastAsia="仿宋_GB2312"/>
          <w:snapToGrid w:val="0"/>
          <w:spacing w:val="0"/>
          <w:sz w:val="32"/>
          <w:szCs w:val="32"/>
        </w:rPr>
        <w:t>落实</w:t>
      </w:r>
      <w:r>
        <w:rPr>
          <w:rFonts w:hint="eastAsia" w:ascii="Times New Roman" w:hAnsi="Times New Roman" w:eastAsia="仿宋_GB2312"/>
          <w:snapToGrid w:val="0"/>
          <w:spacing w:val="0"/>
          <w:sz w:val="32"/>
          <w:szCs w:val="32"/>
          <w:lang w:eastAsia="zh-CN"/>
        </w:rPr>
        <w:t>好</w:t>
      </w:r>
      <w:r>
        <w:rPr>
          <w:rFonts w:hint="eastAsia" w:ascii="Times New Roman" w:hAnsi="Times New Roman" w:eastAsia="仿宋_GB2312"/>
          <w:snapToGrid w:val="0"/>
          <w:spacing w:val="0"/>
          <w:sz w:val="32"/>
          <w:szCs w:val="32"/>
        </w:rPr>
        <w:t>预算执行分析，及时了解预算执行差异，合理调整、纠正预算执行偏差，切实提高部门预算收支管理水平。</w:t>
      </w:r>
    </w:p>
    <w:p w14:paraId="198B375F">
      <w:pPr>
        <w:keepNext w:val="0"/>
        <w:keepLines w:val="0"/>
        <w:pageBreakBefore w:val="0"/>
        <w:widowControl w:val="0"/>
        <w:numPr>
          <w:ilvl w:val="0"/>
          <w:numId w:val="2"/>
        </w:numPr>
        <w:pBdr>
          <w:bottom w:val="single" w:color="FFFFFF" w:sz="4" w:space="31"/>
        </w:pBdr>
        <w:tabs>
          <w:tab w:val="left" w:pos="8050"/>
          <w:tab w:val="left" w:pos="8094"/>
        </w:tabs>
        <w:kinsoku/>
        <w:wordWrap/>
        <w:overflowPunct/>
        <w:topLinePunct w:val="0"/>
        <w:autoSpaceDE/>
        <w:autoSpaceDN/>
        <w:bidi w:val="0"/>
        <w:snapToGrid w:val="0"/>
        <w:spacing w:line="587" w:lineRule="exact"/>
        <w:ind w:firstLine="631" w:firstLineChars="150"/>
        <w:textAlignment w:val="auto"/>
        <w:rPr>
          <w:rFonts w:hint="eastAsia" w:ascii="Times New Roman" w:hAnsi="Times New Roman" w:eastAsia="黑体"/>
          <w:snapToGrid w:val="0"/>
          <w:spacing w:val="0"/>
          <w:sz w:val="32"/>
          <w:szCs w:val="32"/>
        </w:rPr>
      </w:pPr>
      <w:r>
        <w:rPr>
          <w:rFonts w:hint="eastAsia" w:ascii="Times New Roman" w:hAnsi="Times New Roman" w:eastAsia="黑体"/>
          <w:snapToGrid w:val="0"/>
          <w:spacing w:val="0"/>
          <w:sz w:val="32"/>
          <w:szCs w:val="32"/>
        </w:rPr>
        <w:t>意见建议</w:t>
      </w:r>
    </w:p>
    <w:p w14:paraId="22B0DBFF">
      <w:pPr>
        <w:keepNext w:val="0"/>
        <w:keepLines w:val="0"/>
        <w:pageBreakBefore w:val="0"/>
        <w:widowControl w:val="0"/>
        <w:numPr>
          <w:ilvl w:val="0"/>
          <w:numId w:val="0"/>
        </w:numPr>
        <w:pBdr>
          <w:bottom w:val="single" w:color="FFFFFF" w:sz="4" w:space="31"/>
        </w:pBdr>
        <w:tabs>
          <w:tab w:val="left" w:pos="8050"/>
          <w:tab w:val="left" w:pos="8094"/>
        </w:tabs>
        <w:kinsoku/>
        <w:wordWrap/>
        <w:overflowPunct/>
        <w:topLinePunct w:val="0"/>
        <w:autoSpaceDE/>
        <w:autoSpaceDN/>
        <w:bidi w:val="0"/>
        <w:spacing w:line="587" w:lineRule="exact"/>
        <w:ind w:firstLine="631" w:firstLineChars="150"/>
        <w:textAlignment w:val="auto"/>
        <w:rPr>
          <w:rFonts w:hint="eastAsia" w:ascii="仿宋_GB2312" w:eastAsia="仿宋_GB2312"/>
          <w:spacing w:val="0"/>
          <w:sz w:val="32"/>
          <w:szCs w:val="32"/>
          <w:lang w:eastAsia="zh-CN"/>
        </w:rPr>
      </w:pPr>
      <w:r>
        <w:rPr>
          <w:rFonts w:hint="eastAsia" w:ascii="仿宋_GB2312" w:eastAsia="仿宋_GB2312"/>
          <w:spacing w:val="0"/>
          <w:sz w:val="32"/>
          <w:szCs w:val="32"/>
          <w:lang w:eastAsia="zh-CN"/>
        </w:rPr>
        <w:t>无</w:t>
      </w:r>
    </w:p>
    <w:p w14:paraId="1F74C110">
      <w:pPr>
        <w:rPr>
          <w:rFonts w:hint="eastAsia" w:ascii="仿宋_GB2312" w:eastAsia="仿宋_GB2312"/>
          <w:spacing w:val="0"/>
          <w:sz w:val="32"/>
          <w:szCs w:val="32"/>
          <w:lang w:eastAsia="zh-CN"/>
        </w:rPr>
      </w:pPr>
    </w:p>
    <w:p w14:paraId="5F1EF503">
      <w:pPr>
        <w:pStyle w:val="2"/>
        <w:keepNext w:val="0"/>
        <w:keepLines w:val="0"/>
        <w:pageBreakBefore w:val="0"/>
        <w:widowControl w:val="0"/>
        <w:kinsoku/>
        <w:wordWrap/>
        <w:overflowPunct/>
        <w:topLinePunct w:val="0"/>
        <w:autoSpaceDE/>
        <w:autoSpaceDN/>
        <w:bidi w:val="0"/>
        <w:adjustRightInd/>
        <w:snapToGrid/>
        <w:spacing w:line="560" w:lineRule="exact"/>
        <w:ind w:firstLine="4631" w:firstLineChars="1100"/>
        <w:textAlignment w:val="auto"/>
        <w:rPr>
          <w:rFonts w:hint="eastAsia" w:ascii="仿宋_GB2312" w:eastAsia="仿宋_GB2312"/>
          <w:snapToGrid w:val="0"/>
          <w:spacing w:val="0"/>
          <w:sz w:val="32"/>
          <w:szCs w:val="32"/>
          <w:lang w:eastAsia="zh-CN"/>
        </w:rPr>
      </w:pPr>
      <w:r>
        <w:rPr>
          <w:rFonts w:hint="eastAsia" w:ascii="仿宋_GB2312" w:eastAsia="仿宋_GB2312"/>
          <w:snapToGrid w:val="0"/>
          <w:spacing w:val="0"/>
          <w:sz w:val="32"/>
          <w:szCs w:val="32"/>
          <w:lang w:eastAsia="zh-CN"/>
        </w:rPr>
        <w:t>山丹县卫生健康局</w:t>
      </w:r>
    </w:p>
    <w:p w14:paraId="044E392E">
      <w:pPr>
        <w:keepNext w:val="0"/>
        <w:keepLines w:val="0"/>
        <w:pageBreakBefore w:val="0"/>
        <w:widowControl w:val="0"/>
        <w:kinsoku/>
        <w:wordWrap/>
        <w:overflowPunct/>
        <w:topLinePunct w:val="0"/>
        <w:autoSpaceDE/>
        <w:autoSpaceDN/>
        <w:bidi w:val="0"/>
        <w:adjustRightInd/>
        <w:snapToGrid/>
        <w:spacing w:line="240" w:lineRule="auto"/>
        <w:ind w:firstLine="5052" w:firstLineChars="1200"/>
        <w:textAlignment w:val="auto"/>
        <w:rPr>
          <w:rFonts w:hint="default"/>
          <w:snapToGrid w:val="0"/>
          <w:lang w:val="en-US" w:eastAsia="zh-CN"/>
        </w:rPr>
      </w:pPr>
      <w:r>
        <w:rPr>
          <w:rFonts w:hint="eastAsia" w:ascii="仿宋_GB2312" w:eastAsia="仿宋_GB2312"/>
          <w:snapToGrid w:val="0"/>
          <w:spacing w:val="0"/>
          <w:sz w:val="32"/>
          <w:szCs w:val="32"/>
          <w:lang w:val="en-US" w:eastAsia="zh-CN"/>
        </w:rPr>
        <w:t>2023年12月20日</w:t>
      </w:r>
    </w:p>
    <w:sectPr>
      <w:pgSz w:w="11906" w:h="16838"/>
      <w:pgMar w:top="1984" w:right="1587" w:bottom="1587" w:left="1587" w:header="851" w:footer="992" w:gutter="0"/>
      <w:cols w:space="0" w:num="1"/>
      <w:rtlGutter w:val="0"/>
      <w:docGrid w:type="linesAndChars" w:linePitch="579" w:charSpace="208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EF68F2"/>
    <w:multiLevelType w:val="singleLevel"/>
    <w:tmpl w:val="F3EF68F2"/>
    <w:lvl w:ilvl="0" w:tentative="0">
      <w:start w:val="3"/>
      <w:numFmt w:val="chineseCounting"/>
      <w:suff w:val="nothing"/>
      <w:lvlText w:val="%1、"/>
      <w:lvlJc w:val="left"/>
      <w:rPr>
        <w:rFonts w:hint="eastAsia"/>
      </w:rPr>
    </w:lvl>
  </w:abstractNum>
  <w:abstractNum w:abstractNumId="1">
    <w:nsid w:val="75136D7B"/>
    <w:multiLevelType w:val="singleLevel"/>
    <w:tmpl w:val="75136D7B"/>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56"/>
  <w:drawingGridVerticalSpacing w:val="290"/>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JkNmIzZWExZWQzNjc5Y2EwZjA0YmEyNWQxNGM4ODAifQ=="/>
  </w:docVars>
  <w:rsids>
    <w:rsidRoot w:val="42C71578"/>
    <w:rsid w:val="00194BCB"/>
    <w:rsid w:val="004857A1"/>
    <w:rsid w:val="007D09B9"/>
    <w:rsid w:val="00897FD8"/>
    <w:rsid w:val="00AC4864"/>
    <w:rsid w:val="00CB2C4F"/>
    <w:rsid w:val="00E04AF3"/>
    <w:rsid w:val="00ED4999"/>
    <w:rsid w:val="00EE167A"/>
    <w:rsid w:val="023615AF"/>
    <w:rsid w:val="02A97FD3"/>
    <w:rsid w:val="05857B07"/>
    <w:rsid w:val="07350087"/>
    <w:rsid w:val="078F59E9"/>
    <w:rsid w:val="092D3609"/>
    <w:rsid w:val="0A9E7CF1"/>
    <w:rsid w:val="0B3A5C6C"/>
    <w:rsid w:val="0D1A5DFB"/>
    <w:rsid w:val="0D307327"/>
    <w:rsid w:val="0D4E3C51"/>
    <w:rsid w:val="0E3D09BB"/>
    <w:rsid w:val="0E963B01"/>
    <w:rsid w:val="0F563291"/>
    <w:rsid w:val="0FEE5277"/>
    <w:rsid w:val="124F322C"/>
    <w:rsid w:val="142D2812"/>
    <w:rsid w:val="14D17667"/>
    <w:rsid w:val="166149F5"/>
    <w:rsid w:val="18F404FD"/>
    <w:rsid w:val="1BB13D28"/>
    <w:rsid w:val="1D81597C"/>
    <w:rsid w:val="1DE008F5"/>
    <w:rsid w:val="1F95570F"/>
    <w:rsid w:val="20390790"/>
    <w:rsid w:val="22435E56"/>
    <w:rsid w:val="22F32E79"/>
    <w:rsid w:val="26086C3B"/>
    <w:rsid w:val="26E52AD8"/>
    <w:rsid w:val="276854B7"/>
    <w:rsid w:val="27AC7A9A"/>
    <w:rsid w:val="27D03788"/>
    <w:rsid w:val="28011264"/>
    <w:rsid w:val="29A80F84"/>
    <w:rsid w:val="29D3130E"/>
    <w:rsid w:val="2B4C581C"/>
    <w:rsid w:val="2BF23770"/>
    <w:rsid w:val="2CE550C6"/>
    <w:rsid w:val="2E4B1DBB"/>
    <w:rsid w:val="2F300FB0"/>
    <w:rsid w:val="30183F1E"/>
    <w:rsid w:val="30731155"/>
    <w:rsid w:val="309C68FD"/>
    <w:rsid w:val="31C3435E"/>
    <w:rsid w:val="31E57E30"/>
    <w:rsid w:val="32BF4B25"/>
    <w:rsid w:val="34A915E9"/>
    <w:rsid w:val="35E623C9"/>
    <w:rsid w:val="35F94B4D"/>
    <w:rsid w:val="36257A9D"/>
    <w:rsid w:val="36525B93"/>
    <w:rsid w:val="3A9B19D4"/>
    <w:rsid w:val="3B3836C7"/>
    <w:rsid w:val="3BB645EB"/>
    <w:rsid w:val="3D817D60"/>
    <w:rsid w:val="3E2E2B5F"/>
    <w:rsid w:val="3EFE69D5"/>
    <w:rsid w:val="40E816EB"/>
    <w:rsid w:val="40ED0AAF"/>
    <w:rsid w:val="415E0CEF"/>
    <w:rsid w:val="418E640F"/>
    <w:rsid w:val="42C71578"/>
    <w:rsid w:val="42D068DB"/>
    <w:rsid w:val="43A55671"/>
    <w:rsid w:val="443609BF"/>
    <w:rsid w:val="44550E45"/>
    <w:rsid w:val="44AE49FA"/>
    <w:rsid w:val="45101210"/>
    <w:rsid w:val="46167CBE"/>
    <w:rsid w:val="464A2500"/>
    <w:rsid w:val="46713F31"/>
    <w:rsid w:val="477E06B3"/>
    <w:rsid w:val="48673A3A"/>
    <w:rsid w:val="4A4F27DB"/>
    <w:rsid w:val="4F1D4C56"/>
    <w:rsid w:val="50F934A0"/>
    <w:rsid w:val="546D6FE2"/>
    <w:rsid w:val="56BC2FA6"/>
    <w:rsid w:val="588418A2"/>
    <w:rsid w:val="59BE5287"/>
    <w:rsid w:val="5B8D4F11"/>
    <w:rsid w:val="5CC74453"/>
    <w:rsid w:val="5CE172C2"/>
    <w:rsid w:val="5CFF3BED"/>
    <w:rsid w:val="5E39312E"/>
    <w:rsid w:val="5E8A745E"/>
    <w:rsid w:val="6023547F"/>
    <w:rsid w:val="608D150F"/>
    <w:rsid w:val="61520D63"/>
    <w:rsid w:val="621354E2"/>
    <w:rsid w:val="63716EC6"/>
    <w:rsid w:val="64B11C70"/>
    <w:rsid w:val="64D140C0"/>
    <w:rsid w:val="652137E2"/>
    <w:rsid w:val="65735178"/>
    <w:rsid w:val="67A930D3"/>
    <w:rsid w:val="68182006"/>
    <w:rsid w:val="69BE21D7"/>
    <w:rsid w:val="6D4C69DA"/>
    <w:rsid w:val="6EE31840"/>
    <w:rsid w:val="6FB97C2B"/>
    <w:rsid w:val="71FF18AD"/>
    <w:rsid w:val="729B5D0E"/>
    <w:rsid w:val="72E01973"/>
    <w:rsid w:val="73074658"/>
    <w:rsid w:val="73FB6A64"/>
    <w:rsid w:val="74FD4A5E"/>
    <w:rsid w:val="75DE663D"/>
    <w:rsid w:val="797177C8"/>
    <w:rsid w:val="79BB460E"/>
    <w:rsid w:val="7A794B87"/>
    <w:rsid w:val="7A925C48"/>
    <w:rsid w:val="7C5A2796"/>
    <w:rsid w:val="7D390600"/>
    <w:rsid w:val="7E723D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qFormat/>
    <w:uiPriority w:val="0"/>
    <w:pPr>
      <w:spacing w:line="480" w:lineRule="auto"/>
      <w:ind w:left="420" w:leftChars="200"/>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Calibri"/>
      <w:kern w:val="2"/>
      <w:sz w:val="18"/>
      <w:szCs w:val="18"/>
    </w:rPr>
  </w:style>
  <w:style w:type="character" w:customStyle="1" w:styleId="8">
    <w:name w:val="页脚 Char"/>
    <w:basedOn w:val="6"/>
    <w:link w:val="3"/>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4221</Words>
  <Characters>4373</Characters>
  <Lines>3</Lines>
  <Paragraphs>1</Paragraphs>
  <TotalTime>3</TotalTime>
  <ScaleCrop>false</ScaleCrop>
  <LinksUpToDate>false</LinksUpToDate>
  <CharactersWithSpaces>4373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2018-03-23T02:40:00Z</dcterms:created>
  <dc:creator>散步的鱼</dc:creator>
  <cp:lastModifiedBy>Administrator</cp:lastModifiedBy>
  <cp:lastPrinted>2018-04-11T02:51:00Z</cp:lastPrinted>
  <dcterms:modified xsi:type="dcterms:W3CDTF">2024-08-19T06:45:59Z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C7C3B254ADAB4784B463728117025B0F</vt:lpwstr>
  </property>
</Properties>
</file>