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21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val="en-US" w:eastAsia="zh-CN"/>
        </w:rPr>
        <w:t>山丹县</w:t>
      </w:r>
      <w:bookmarkStart w:id="0" w:name="_GoBack"/>
      <w:bookmarkEnd w:id="0"/>
      <w:r>
        <w:rPr>
          <w:rFonts w:hint="eastAsia" w:ascii="方正小标宋简体" w:hAnsi="方正小标宋简体" w:eastAsia="方正小标宋简体" w:cs="方正小标宋简体"/>
          <w:b w:val="0"/>
          <w:bCs w:val="0"/>
          <w:spacing w:val="1"/>
          <w:sz w:val="44"/>
          <w:szCs w:val="44"/>
          <w:lang w:eastAsia="zh-CN"/>
        </w:rPr>
        <w:t>审计局</w:t>
      </w: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行政强制</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580"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9"/>
        <w:gridCol w:w="828"/>
        <w:gridCol w:w="1166"/>
        <w:gridCol w:w="973"/>
        <w:gridCol w:w="767"/>
        <w:gridCol w:w="3219"/>
        <w:gridCol w:w="3223"/>
        <w:gridCol w:w="867"/>
        <w:gridCol w:w="720"/>
        <w:gridCol w:w="685"/>
        <w:gridCol w:w="810"/>
      </w:tblGrid>
      <w:tr w14:paraId="6D3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53" w:type="dxa"/>
            <w:vMerge w:val="restart"/>
            <w:shd w:val="clear" w:color="auto" w:fill="auto"/>
            <w:vAlign w:val="center"/>
          </w:tcPr>
          <w:p w14:paraId="194492EB">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2"/>
                <w:sz w:val="18"/>
                <w:szCs w:val="18"/>
              </w:rPr>
              <w:t>序号</w:t>
            </w:r>
          </w:p>
        </w:tc>
        <w:tc>
          <w:tcPr>
            <w:tcW w:w="869" w:type="dxa"/>
            <w:vMerge w:val="restart"/>
            <w:shd w:val="clear" w:color="auto" w:fill="auto"/>
            <w:vAlign w:val="center"/>
          </w:tcPr>
          <w:p w14:paraId="5851A95B">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1"/>
                <w:sz w:val="18"/>
                <w:szCs w:val="18"/>
              </w:rPr>
              <w:t>执法事项名称</w:t>
            </w:r>
          </w:p>
        </w:tc>
        <w:tc>
          <w:tcPr>
            <w:tcW w:w="828" w:type="dxa"/>
            <w:vMerge w:val="restart"/>
            <w:shd w:val="clear" w:color="auto" w:fill="auto"/>
            <w:vAlign w:val="center"/>
          </w:tcPr>
          <w:p w14:paraId="79AC0A2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spacing w:val="-1"/>
                <w:sz w:val="18"/>
                <w:szCs w:val="18"/>
              </w:rPr>
            </w:pPr>
            <w:r>
              <w:rPr>
                <w:rFonts w:hint="eastAsia" w:ascii="黑体" w:hAnsi="黑体" w:eastAsia="黑体" w:cs="黑体"/>
                <w:spacing w:val="-1"/>
                <w:sz w:val="18"/>
                <w:szCs w:val="18"/>
              </w:rPr>
              <w:t>执法事</w:t>
            </w:r>
          </w:p>
          <w:p w14:paraId="0F651947">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1"/>
                <w:sz w:val="18"/>
                <w:szCs w:val="18"/>
              </w:rPr>
              <w:t>项类型</w:t>
            </w:r>
          </w:p>
        </w:tc>
        <w:tc>
          <w:tcPr>
            <w:tcW w:w="1166" w:type="dxa"/>
            <w:vMerge w:val="restart"/>
            <w:shd w:val="clear" w:color="auto" w:fill="auto"/>
            <w:vAlign w:val="center"/>
          </w:tcPr>
          <w:p w14:paraId="007D91C1">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5"/>
                <w:sz w:val="18"/>
                <w:szCs w:val="18"/>
              </w:rPr>
              <w:t>执法部门</w:t>
            </w:r>
          </w:p>
        </w:tc>
        <w:tc>
          <w:tcPr>
            <w:tcW w:w="973" w:type="dxa"/>
            <w:vMerge w:val="restart"/>
            <w:shd w:val="clear" w:color="auto" w:fill="auto"/>
            <w:vAlign w:val="center"/>
          </w:tcPr>
          <w:p w14:paraId="5003F154">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2"/>
                <w:sz w:val="18"/>
                <w:szCs w:val="18"/>
              </w:rPr>
              <w:t>执法领域</w:t>
            </w:r>
          </w:p>
        </w:tc>
        <w:tc>
          <w:tcPr>
            <w:tcW w:w="767" w:type="dxa"/>
            <w:vMerge w:val="restart"/>
            <w:shd w:val="clear" w:color="auto" w:fill="auto"/>
            <w:vAlign w:val="center"/>
          </w:tcPr>
          <w:p w14:paraId="5A62D970">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kern w:val="2"/>
                <w:sz w:val="18"/>
                <w:szCs w:val="18"/>
                <w:lang w:val="en-US" w:eastAsia="zh-CN" w:bidi="ar-SA"/>
              </w:rPr>
            </w:pPr>
            <w:r>
              <w:rPr>
                <w:rFonts w:hint="eastAsia" w:ascii="黑体" w:hAnsi="黑体" w:eastAsia="黑体" w:cs="黑体"/>
                <w:spacing w:val="2"/>
                <w:sz w:val="18"/>
                <w:szCs w:val="18"/>
              </w:rPr>
              <w:t>实施层级</w:t>
            </w:r>
          </w:p>
        </w:tc>
        <w:tc>
          <w:tcPr>
            <w:tcW w:w="8714" w:type="dxa"/>
            <w:gridSpan w:val="5"/>
            <w:vAlign w:val="center"/>
          </w:tcPr>
          <w:p w14:paraId="6E808F1B">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18"/>
                <w:szCs w:val="18"/>
                <w:vertAlign w:val="baseline"/>
                <w:lang w:val="en-US" w:eastAsia="zh-CN"/>
              </w:rPr>
            </w:pPr>
            <w:r>
              <w:rPr>
                <w:rFonts w:hint="eastAsia" w:ascii="黑体" w:hAnsi="黑体" w:eastAsia="黑体" w:cs="黑体"/>
                <w:spacing w:val="-2"/>
                <w:sz w:val="18"/>
                <w:szCs w:val="18"/>
              </w:rPr>
              <w:t>执法依据</w:t>
            </w:r>
          </w:p>
        </w:tc>
        <w:tc>
          <w:tcPr>
            <w:tcW w:w="810" w:type="dxa"/>
            <w:vMerge w:val="restart"/>
            <w:vAlign w:val="center"/>
          </w:tcPr>
          <w:p w14:paraId="0ED63D5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18"/>
                <w:szCs w:val="18"/>
                <w:vertAlign w:val="baseline"/>
                <w:lang w:val="en-US" w:eastAsia="zh-CN"/>
              </w:rPr>
            </w:pPr>
            <w:r>
              <w:rPr>
                <w:rFonts w:hint="eastAsia" w:ascii="黑体" w:hAnsi="黑体" w:eastAsia="黑体" w:cs="黑体"/>
                <w:spacing w:val="-3"/>
                <w:sz w:val="18"/>
                <w:szCs w:val="18"/>
              </w:rPr>
              <w:t>备注</w:t>
            </w:r>
          </w:p>
        </w:tc>
      </w:tr>
      <w:tr w14:paraId="1A7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3" w:type="dxa"/>
            <w:vMerge w:val="continue"/>
            <w:vAlign w:val="center"/>
          </w:tcPr>
          <w:p w14:paraId="2B66CD5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9" w:type="dxa"/>
            <w:vMerge w:val="continue"/>
            <w:vAlign w:val="center"/>
          </w:tcPr>
          <w:p w14:paraId="09AD3F99">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28" w:type="dxa"/>
            <w:vMerge w:val="continue"/>
            <w:vAlign w:val="center"/>
          </w:tcPr>
          <w:p w14:paraId="3657E354">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66" w:type="dxa"/>
            <w:vMerge w:val="continue"/>
            <w:vAlign w:val="center"/>
          </w:tcPr>
          <w:p w14:paraId="23FAC32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973" w:type="dxa"/>
            <w:vMerge w:val="continue"/>
            <w:vAlign w:val="center"/>
          </w:tcPr>
          <w:p w14:paraId="062FF15D">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767" w:type="dxa"/>
            <w:vMerge w:val="continue"/>
            <w:vAlign w:val="center"/>
          </w:tcPr>
          <w:p w14:paraId="0888A6B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3219" w:type="dxa"/>
            <w:vAlign w:val="center"/>
          </w:tcPr>
          <w:p w14:paraId="5341C974">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pacing w:val="-2"/>
                <w:sz w:val="18"/>
                <w:szCs w:val="18"/>
                <w:lang w:val="en-US" w:eastAsia="zh-CN"/>
              </w:rPr>
            </w:pPr>
            <w:r>
              <w:rPr>
                <w:rFonts w:hint="eastAsia" w:ascii="黑体" w:hAnsi="黑体" w:eastAsia="黑体" w:cs="黑体"/>
                <w:spacing w:val="-2"/>
                <w:sz w:val="18"/>
                <w:szCs w:val="18"/>
              </w:rPr>
              <w:t>法律</w:t>
            </w:r>
          </w:p>
        </w:tc>
        <w:tc>
          <w:tcPr>
            <w:tcW w:w="3223" w:type="dxa"/>
            <w:vAlign w:val="center"/>
          </w:tcPr>
          <w:p w14:paraId="1F8885C5">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pacing w:val="-2"/>
                <w:sz w:val="18"/>
                <w:szCs w:val="18"/>
                <w:lang w:val="en-US" w:eastAsia="zh-CN"/>
              </w:rPr>
            </w:pPr>
            <w:r>
              <w:rPr>
                <w:rFonts w:hint="eastAsia" w:ascii="黑体" w:hAnsi="黑体" w:eastAsia="黑体" w:cs="黑体"/>
                <w:spacing w:val="-2"/>
                <w:sz w:val="18"/>
                <w:szCs w:val="18"/>
              </w:rPr>
              <w:t>行政法规</w:t>
            </w:r>
          </w:p>
        </w:tc>
        <w:tc>
          <w:tcPr>
            <w:tcW w:w="867" w:type="dxa"/>
            <w:vAlign w:val="center"/>
          </w:tcPr>
          <w:p w14:paraId="35EF2FA7">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pacing w:val="-2"/>
                <w:sz w:val="18"/>
                <w:szCs w:val="18"/>
                <w:lang w:val="en-US" w:eastAsia="zh-CN"/>
              </w:rPr>
            </w:pPr>
            <w:r>
              <w:rPr>
                <w:rFonts w:hint="eastAsia" w:ascii="黑体" w:hAnsi="黑体" w:eastAsia="黑体" w:cs="黑体"/>
                <w:spacing w:val="-2"/>
                <w:sz w:val="18"/>
                <w:szCs w:val="18"/>
              </w:rPr>
              <w:t>地方性法规</w:t>
            </w:r>
          </w:p>
        </w:tc>
        <w:tc>
          <w:tcPr>
            <w:tcW w:w="720" w:type="dxa"/>
            <w:vAlign w:val="center"/>
          </w:tcPr>
          <w:p w14:paraId="28CF0D7E">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pacing w:val="-2"/>
                <w:sz w:val="18"/>
                <w:szCs w:val="18"/>
                <w:lang w:val="en-US" w:eastAsia="zh-CN"/>
              </w:rPr>
            </w:pPr>
            <w:r>
              <w:rPr>
                <w:rFonts w:hint="eastAsia" w:ascii="黑体" w:hAnsi="黑体" w:eastAsia="黑体" w:cs="黑体"/>
                <w:spacing w:val="-2"/>
                <w:sz w:val="18"/>
                <w:szCs w:val="18"/>
              </w:rPr>
              <w:t>部门规章</w:t>
            </w:r>
          </w:p>
        </w:tc>
        <w:tc>
          <w:tcPr>
            <w:tcW w:w="685" w:type="dxa"/>
            <w:vAlign w:val="center"/>
          </w:tcPr>
          <w:p w14:paraId="20B9266D">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pacing w:val="-2"/>
                <w:sz w:val="18"/>
                <w:szCs w:val="18"/>
                <w:lang w:val="en-US" w:eastAsia="zh-CN"/>
              </w:rPr>
            </w:pPr>
            <w:r>
              <w:rPr>
                <w:rFonts w:hint="eastAsia" w:ascii="黑体" w:hAnsi="黑体" w:eastAsia="黑体" w:cs="黑体"/>
                <w:spacing w:val="-2"/>
                <w:sz w:val="18"/>
                <w:szCs w:val="18"/>
              </w:rPr>
              <w:t>政府规章</w:t>
            </w:r>
          </w:p>
        </w:tc>
        <w:tc>
          <w:tcPr>
            <w:tcW w:w="810" w:type="dxa"/>
            <w:vMerge w:val="continue"/>
            <w:vAlign w:val="center"/>
          </w:tcPr>
          <w:p w14:paraId="167C8BC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67F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453" w:type="dxa"/>
            <w:vAlign w:val="center"/>
          </w:tcPr>
          <w:p w14:paraId="120B33AD">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w:t>
            </w:r>
          </w:p>
        </w:tc>
        <w:tc>
          <w:tcPr>
            <w:tcW w:w="869" w:type="dxa"/>
            <w:vAlign w:val="center"/>
          </w:tcPr>
          <w:p w14:paraId="57A2A6A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对被审计单位转移、隐匿、篡改、毁弃财务会计资料等行为的行政强制</w:t>
            </w:r>
          </w:p>
        </w:tc>
        <w:tc>
          <w:tcPr>
            <w:tcW w:w="828" w:type="dxa"/>
            <w:vAlign w:val="center"/>
          </w:tcPr>
          <w:p w14:paraId="203843F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166" w:type="dxa"/>
            <w:vAlign w:val="center"/>
          </w:tcPr>
          <w:p w14:paraId="7D6F2869">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县审计局</w:t>
            </w:r>
          </w:p>
        </w:tc>
        <w:tc>
          <w:tcPr>
            <w:tcW w:w="973" w:type="dxa"/>
            <w:vAlign w:val="center"/>
          </w:tcPr>
          <w:p w14:paraId="6A3A740F">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审计监督</w:t>
            </w:r>
          </w:p>
        </w:tc>
        <w:tc>
          <w:tcPr>
            <w:tcW w:w="767" w:type="dxa"/>
            <w:vAlign w:val="center"/>
          </w:tcPr>
          <w:p w14:paraId="50C0D45A">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县级</w:t>
            </w:r>
          </w:p>
        </w:tc>
        <w:tc>
          <w:tcPr>
            <w:tcW w:w="3219" w:type="dxa"/>
            <w:vAlign w:val="center"/>
          </w:tcPr>
          <w:p w14:paraId="4B38286A">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审计法》第三十八条：“审计机关进行审计时，被审计单位不得转移、隐匿、篡改、毁弃财务、会计资料以及与财政收支、财务收支有关的业务、管理等资料，不得转移、隐匿、故意毁损所持有的违反国家规定取得的资产。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tc>
        <w:tc>
          <w:tcPr>
            <w:tcW w:w="3223" w:type="dxa"/>
            <w:vAlign w:val="center"/>
          </w:tcPr>
          <w:p w14:paraId="16B2DAE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审计法实施条例》第三十二条：“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对封存的资料、资产，审计机关可以指定被审计单位负责保管，被审计单位不得损毁或者擅自转移。”</w:t>
            </w:r>
          </w:p>
        </w:tc>
        <w:tc>
          <w:tcPr>
            <w:tcW w:w="867" w:type="dxa"/>
            <w:vAlign w:val="center"/>
          </w:tcPr>
          <w:p w14:paraId="3139BB38">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720" w:type="dxa"/>
            <w:vAlign w:val="center"/>
          </w:tcPr>
          <w:p w14:paraId="1BEB978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685" w:type="dxa"/>
            <w:vAlign w:val="center"/>
          </w:tcPr>
          <w:p w14:paraId="33DDD881">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810" w:type="dxa"/>
            <w:vAlign w:val="center"/>
          </w:tcPr>
          <w:p w14:paraId="5AC3A5DE">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r>
      <w:tr w14:paraId="762C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 w:type="dxa"/>
            <w:vAlign w:val="center"/>
          </w:tcPr>
          <w:p w14:paraId="2BCC2098">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w:t>
            </w:r>
          </w:p>
        </w:tc>
        <w:tc>
          <w:tcPr>
            <w:tcW w:w="869" w:type="dxa"/>
            <w:vAlign w:val="center"/>
          </w:tcPr>
          <w:p w14:paraId="090C5A2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对通知财政部门和有关部门暂停拨付款项的行政强制</w:t>
            </w:r>
          </w:p>
        </w:tc>
        <w:tc>
          <w:tcPr>
            <w:tcW w:w="828" w:type="dxa"/>
            <w:vAlign w:val="center"/>
          </w:tcPr>
          <w:p w14:paraId="472EE4A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166" w:type="dxa"/>
            <w:vAlign w:val="center"/>
          </w:tcPr>
          <w:p w14:paraId="7D2DE6C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县审计局</w:t>
            </w:r>
          </w:p>
        </w:tc>
        <w:tc>
          <w:tcPr>
            <w:tcW w:w="973" w:type="dxa"/>
            <w:vAlign w:val="center"/>
          </w:tcPr>
          <w:p w14:paraId="14C6BA1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审计监督</w:t>
            </w:r>
          </w:p>
        </w:tc>
        <w:tc>
          <w:tcPr>
            <w:tcW w:w="767" w:type="dxa"/>
            <w:vAlign w:val="center"/>
          </w:tcPr>
          <w:p w14:paraId="2CF7E09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县级</w:t>
            </w:r>
          </w:p>
        </w:tc>
        <w:tc>
          <w:tcPr>
            <w:tcW w:w="3219" w:type="dxa"/>
            <w:vAlign w:val="center"/>
          </w:tcPr>
          <w:p w14:paraId="333CE44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审计法》第三十八条：“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tc>
        <w:tc>
          <w:tcPr>
            <w:tcW w:w="3223" w:type="dxa"/>
            <w:vAlign w:val="center"/>
          </w:tcPr>
          <w:p w14:paraId="7B9340CA">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867" w:type="dxa"/>
            <w:vAlign w:val="center"/>
          </w:tcPr>
          <w:p w14:paraId="4B1A4755">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720" w:type="dxa"/>
            <w:vAlign w:val="center"/>
          </w:tcPr>
          <w:p w14:paraId="599FB22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685" w:type="dxa"/>
            <w:vAlign w:val="center"/>
          </w:tcPr>
          <w:p w14:paraId="4FFFFFFE">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810" w:type="dxa"/>
            <w:vAlign w:val="center"/>
          </w:tcPr>
          <w:p w14:paraId="6BCAD448">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r>
      <w:tr w14:paraId="7BAA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53" w:type="dxa"/>
            <w:vAlign w:val="center"/>
          </w:tcPr>
          <w:p w14:paraId="676929D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w:t>
            </w:r>
          </w:p>
        </w:tc>
        <w:tc>
          <w:tcPr>
            <w:tcW w:w="869" w:type="dxa"/>
            <w:vAlign w:val="center"/>
          </w:tcPr>
          <w:p w14:paraId="15A0E00B">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对申请人民法院执行审计决定的行政强制</w:t>
            </w:r>
          </w:p>
        </w:tc>
        <w:tc>
          <w:tcPr>
            <w:tcW w:w="828" w:type="dxa"/>
            <w:vAlign w:val="center"/>
          </w:tcPr>
          <w:p w14:paraId="1863C11A">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行政强制</w:t>
            </w:r>
          </w:p>
        </w:tc>
        <w:tc>
          <w:tcPr>
            <w:tcW w:w="1166" w:type="dxa"/>
            <w:vAlign w:val="center"/>
          </w:tcPr>
          <w:p w14:paraId="6FC6748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县审计局</w:t>
            </w:r>
          </w:p>
        </w:tc>
        <w:tc>
          <w:tcPr>
            <w:tcW w:w="973" w:type="dxa"/>
            <w:vAlign w:val="center"/>
          </w:tcPr>
          <w:p w14:paraId="0AEC1325">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审计监督</w:t>
            </w:r>
          </w:p>
        </w:tc>
        <w:tc>
          <w:tcPr>
            <w:tcW w:w="767" w:type="dxa"/>
            <w:vAlign w:val="center"/>
          </w:tcPr>
          <w:p w14:paraId="2F4143F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县级</w:t>
            </w:r>
          </w:p>
        </w:tc>
        <w:tc>
          <w:tcPr>
            <w:tcW w:w="3219" w:type="dxa"/>
            <w:vAlign w:val="center"/>
          </w:tcPr>
          <w:p w14:paraId="09FD89B8">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3223" w:type="dxa"/>
            <w:vAlign w:val="center"/>
          </w:tcPr>
          <w:p w14:paraId="3CB29AE1">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审计法实施条例》第五十四条：“被审计单位不执行审计决定的，审计机关应当责令限期执行；逾期仍不执行的，审计机关可以申请人民法院强制执行，建议有关主管机关、单位对直接负责的主管人员和其他直接责任人员给予处分。”</w:t>
            </w:r>
          </w:p>
        </w:tc>
        <w:tc>
          <w:tcPr>
            <w:tcW w:w="867" w:type="dxa"/>
            <w:vAlign w:val="center"/>
          </w:tcPr>
          <w:p w14:paraId="090BC263">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720" w:type="dxa"/>
            <w:vAlign w:val="center"/>
          </w:tcPr>
          <w:p w14:paraId="0420157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685" w:type="dxa"/>
            <w:vAlign w:val="center"/>
          </w:tcPr>
          <w:p w14:paraId="7B654B2A">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c>
          <w:tcPr>
            <w:tcW w:w="810" w:type="dxa"/>
            <w:vAlign w:val="center"/>
          </w:tcPr>
          <w:p w14:paraId="2ADC5735">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b w:val="0"/>
                <w:bCs w:val="0"/>
                <w:spacing w:val="1"/>
                <w:sz w:val="15"/>
                <w:szCs w:val="15"/>
                <w:vertAlign w:val="baseline"/>
                <w:lang w:val="en-US" w:eastAsia="zh-CN"/>
              </w:rPr>
            </w:pPr>
          </w:p>
        </w:tc>
      </w:tr>
    </w:tbl>
    <w:p w14:paraId="11F32815">
      <w:pPr>
        <w:keepNext w:val="0"/>
        <w:keepLines w:val="0"/>
        <w:pageBreakBefore w:val="0"/>
        <w:widowControl w:val="0"/>
        <w:tabs>
          <w:tab w:val="left" w:pos="269"/>
        </w:tabs>
        <w:kinsoku/>
        <w:wordWrap/>
        <w:overflowPunct/>
        <w:topLinePunct w:val="0"/>
        <w:autoSpaceDE/>
        <w:autoSpaceDN/>
        <w:bidi w:val="0"/>
        <w:adjustRightInd/>
        <w:snapToGrid/>
        <w:spacing w:line="20" w:lineRule="exact"/>
        <w:textAlignment w:val="auto"/>
        <w:outlineLvl w:val="9"/>
        <w:rPr>
          <w:rFonts w:ascii="仿宋_GB2312" w:eastAsia="仿宋_GB2312"/>
        </w:rPr>
      </w:pPr>
    </w:p>
    <w:sectPr>
      <w:footerReference r:id="rId3" w:type="default"/>
      <w:pgSz w:w="16838" w:h="11906" w:orient="landscape"/>
      <w:pgMar w:top="1587" w:right="2098" w:bottom="1474" w:left="1985" w:header="851" w:footer="113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42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49B5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949B54">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ODVkYzhmMWJjNWU2ZWZmZTZmZDcwYzRjZjljN2MifQ=="/>
  </w:docVars>
  <w:rsids>
    <w:rsidRoot w:val="00880869"/>
    <w:rsid w:val="00192DD6"/>
    <w:rsid w:val="002402B7"/>
    <w:rsid w:val="00536A9D"/>
    <w:rsid w:val="00566489"/>
    <w:rsid w:val="00795AF1"/>
    <w:rsid w:val="00880869"/>
    <w:rsid w:val="00A33866"/>
    <w:rsid w:val="00B22A39"/>
    <w:rsid w:val="00BC3529"/>
    <w:rsid w:val="00C24EDB"/>
    <w:rsid w:val="00D75F36"/>
    <w:rsid w:val="00E3066D"/>
    <w:rsid w:val="00EF0047"/>
    <w:rsid w:val="00F27A1A"/>
    <w:rsid w:val="05EE4D5E"/>
    <w:rsid w:val="1092654A"/>
    <w:rsid w:val="11800151"/>
    <w:rsid w:val="16EF0A61"/>
    <w:rsid w:val="17E0104B"/>
    <w:rsid w:val="19EB5E10"/>
    <w:rsid w:val="1FDF0B68"/>
    <w:rsid w:val="25D86356"/>
    <w:rsid w:val="27F213F4"/>
    <w:rsid w:val="28550131"/>
    <w:rsid w:val="29A72421"/>
    <w:rsid w:val="2DFFD2A3"/>
    <w:rsid w:val="3419330C"/>
    <w:rsid w:val="3AA65EB1"/>
    <w:rsid w:val="3B90119F"/>
    <w:rsid w:val="3BC96A15"/>
    <w:rsid w:val="428656EC"/>
    <w:rsid w:val="46004DE1"/>
    <w:rsid w:val="47FF35AC"/>
    <w:rsid w:val="4CB13B3B"/>
    <w:rsid w:val="4F7F31C9"/>
    <w:rsid w:val="53205222"/>
    <w:rsid w:val="55C027DF"/>
    <w:rsid w:val="56EFA7F6"/>
    <w:rsid w:val="57FD372A"/>
    <w:rsid w:val="592F3F03"/>
    <w:rsid w:val="64B71FC1"/>
    <w:rsid w:val="66CD4D5B"/>
    <w:rsid w:val="683A7585"/>
    <w:rsid w:val="69334DEF"/>
    <w:rsid w:val="6C891725"/>
    <w:rsid w:val="6F7C71A4"/>
    <w:rsid w:val="6FD9F9C2"/>
    <w:rsid w:val="70EC9CDD"/>
    <w:rsid w:val="7251239D"/>
    <w:rsid w:val="77DB72D8"/>
    <w:rsid w:val="7927654D"/>
    <w:rsid w:val="7B31B945"/>
    <w:rsid w:val="7B6D6D7C"/>
    <w:rsid w:val="7D3BB7E1"/>
    <w:rsid w:val="7D4D4E7B"/>
    <w:rsid w:val="7DFFE957"/>
    <w:rsid w:val="7F5645FB"/>
    <w:rsid w:val="7FB001C0"/>
    <w:rsid w:val="951F337A"/>
    <w:rsid w:val="99FDDE75"/>
    <w:rsid w:val="9CAFD81C"/>
    <w:rsid w:val="9EBF7D27"/>
    <w:rsid w:val="BE910254"/>
    <w:rsid w:val="D77E13BF"/>
    <w:rsid w:val="DDFDF9E4"/>
    <w:rsid w:val="DFFD6B04"/>
    <w:rsid w:val="E5FF51ED"/>
    <w:rsid w:val="FCAB67F4"/>
    <w:rsid w:val="FD77E13D"/>
    <w:rsid w:val="FDF9E0CB"/>
    <w:rsid w:val="FEBEAB45"/>
    <w:rsid w:val="FEE70360"/>
    <w:rsid w:val="FFBAF50C"/>
    <w:rsid w:val="FFDC19A8"/>
    <w:rsid w:val="FFFE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Char"/>
    <w:basedOn w:val="9"/>
    <w:link w:val="3"/>
    <w:semiHidden/>
    <w:qFormat/>
    <w:uiPriority w:val="99"/>
    <w:rPr>
      <w:rFonts w:ascii="Times New Roman" w:hAnsi="Times New Roman" w:eastAsia="宋体" w:cs="Times New Roman"/>
      <w:szCs w:val="24"/>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885</Words>
  <Characters>885</Characters>
  <Lines>1</Lines>
  <Paragraphs>1</Paragraphs>
  <TotalTime>5</TotalTime>
  <ScaleCrop>false</ScaleCrop>
  <LinksUpToDate>false</LinksUpToDate>
  <CharactersWithSpaces>885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2024-02-21T12:08:00Z</dcterms:created>
  <dc:creator>李红霞</dc:creator>
  <cp:lastModifiedBy>WPS_1714438928</cp:lastModifiedBy>
  <cp:lastPrinted>2024-11-28T16:48:00Z</cp:lastPrinted>
  <dcterms:modified xsi:type="dcterms:W3CDTF">2024-12-04T08:55:08Z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4C8C814CF9FA41E890D838D51971D112_12</vt:lpwstr>
  </property>
</Properties>
</file>