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AA6C5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部门整体支出绩效目标表</w:t>
      </w:r>
    </w:p>
    <w:p w14:paraId="3BC50666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年度）</w:t>
      </w:r>
    </w:p>
    <w:tbl>
      <w:tblPr>
        <w:tblStyle w:val="3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76"/>
        <w:gridCol w:w="1386"/>
        <w:gridCol w:w="78"/>
        <w:gridCol w:w="2964"/>
        <w:gridCol w:w="1050"/>
        <w:gridCol w:w="1538"/>
      </w:tblGrid>
      <w:tr w14:paraId="10F20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E093F6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AB9657E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山丹县妇女联合会</w:t>
            </w:r>
          </w:p>
        </w:tc>
      </w:tr>
      <w:tr w14:paraId="62D43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5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 w14:paraId="7A0B730F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1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53F7BB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1.通过预算执行保障妇联的正常办公及人员工资；加强预决算公开，严格把控三公经费，使之逐年下降；</w:t>
            </w:r>
          </w:p>
          <w:p w14:paraId="0DBC6E95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2.强化党的建设，搭建好妇联与妇女群众的桥梁，建立妇联组织应急协同工作机制，提升妇联服务水平；</w:t>
            </w:r>
          </w:p>
          <w:p w14:paraId="4919325E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3.探索内外培训模式，组织各级妇联执委参加学习培训，加快妇联人才队伍培养；</w:t>
            </w:r>
          </w:p>
          <w:p w14:paraId="67F9C15B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4.实施妇女素质提升工程，培育一批有较强示范带动作用的巾帼示范基地和巾帼带头人。</w:t>
            </w:r>
          </w:p>
        </w:tc>
      </w:tr>
      <w:tr w14:paraId="3137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 w14:paraId="441D4753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 算 情 况（万元）</w:t>
            </w:r>
          </w:p>
        </w:tc>
        <w:tc>
          <w:tcPr>
            <w:tcW w:w="2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DD1D292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D6019F8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27FF660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82EA37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</w:tr>
      <w:tr w14:paraId="3AC33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F305521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BA53F7D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825055B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76D6EF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89.2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E282CD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E83B67D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108.38</w:t>
            </w:r>
          </w:p>
        </w:tc>
      </w:tr>
      <w:tr w14:paraId="0C3ED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BE51AE3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61F4634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9DB0924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9C628F3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17.16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708A3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38B97DE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29E8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2AE3F17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A517B51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C0DC834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E040849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106.38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259FEA7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EAE05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7463D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4DB926D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4890167C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29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2629EE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ADAD09B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4EFC17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108.38</w:t>
            </w:r>
          </w:p>
        </w:tc>
      </w:tr>
      <w:tr w14:paraId="2DB72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1AFBB90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953D426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4BE91B0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B0E0BF8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78C469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108.38</w:t>
            </w:r>
            <w:bookmarkStart w:id="0" w:name="_GoBack"/>
            <w:bookmarkEnd w:id="0"/>
          </w:p>
        </w:tc>
      </w:tr>
      <w:tr w14:paraId="4AAB1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extDirection w:val="tbLrV"/>
            <w:vAlign w:val="center"/>
          </w:tcPr>
          <w:p w14:paraId="6B53AA3F">
            <w:pPr>
              <w:ind w:left="113" w:right="113"/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1591E8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FD044E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87B4C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03065DE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 w14:paraId="6104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39928558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51723F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38A6B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7CA6D2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拖欠干部职工工资次数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BAB511D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 xml:space="preserve"> ≤1次</w:t>
            </w:r>
          </w:p>
        </w:tc>
      </w:tr>
      <w:tr w14:paraId="3F1C1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170B11B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8E5475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33451A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F3091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预决算公开是否及时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121E2C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及时公开</w:t>
            </w:r>
          </w:p>
        </w:tc>
      </w:tr>
      <w:tr w14:paraId="6BF49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573B5AD1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66C473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9126A4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D2AED4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三公经费支出数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DF0B81E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较上年压减5%</w:t>
            </w:r>
          </w:p>
        </w:tc>
      </w:tr>
      <w:tr w14:paraId="5BD8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752A33F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AF737B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履职效果</w:t>
            </w:r>
          </w:p>
        </w:tc>
        <w:tc>
          <w:tcPr>
            <w:tcW w:w="146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710D8B9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2A603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支持巾帼示范基地提升经营能力项目数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D673D9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≥10个</w:t>
            </w:r>
          </w:p>
        </w:tc>
      </w:tr>
      <w:tr w14:paraId="22070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0DAD96B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6D0812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50403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3FBF9D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美丽庭院创评和人居环境改善情况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23A783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明显改善</w:t>
            </w:r>
          </w:p>
        </w:tc>
      </w:tr>
      <w:tr w14:paraId="6EC35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41D463A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3A5D6F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C36321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681A78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为妇女儿童办实事好事提升幸福感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8F4E5DC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 xml:space="preserve"> 明显提升</w:t>
            </w:r>
          </w:p>
        </w:tc>
      </w:tr>
      <w:tr w14:paraId="5C8BA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57E3A48A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F1A01D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能力建设</w:t>
            </w:r>
          </w:p>
        </w:tc>
        <w:tc>
          <w:tcPr>
            <w:tcW w:w="146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682EB6E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群众满意度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指标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FF31EA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产业培育个数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D69AA6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 xml:space="preserve"> ≥10个</w:t>
            </w:r>
          </w:p>
        </w:tc>
      </w:tr>
      <w:tr w14:paraId="60683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243F90AD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1C7EDC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BB7A65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AB69ED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服务群众质量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5DAB0E7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明显提升</w:t>
            </w:r>
          </w:p>
        </w:tc>
      </w:tr>
      <w:tr w14:paraId="4FA7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F954693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97A4994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440450EF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F068A07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社会发展质量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800324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不低于全县水平</w:t>
            </w:r>
          </w:p>
        </w:tc>
      </w:tr>
    </w:tbl>
    <w:p w14:paraId="0046F0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55FFE"/>
    <w:rsid w:val="747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2025-02-08T09:53:00Z</dcterms:created>
  <dc:creator>王小丹</dc:creator>
  <cp:lastModifiedBy>王小丹</cp:lastModifiedBy>
  <dcterms:modified xsi:type="dcterms:W3CDTF">2025-02-08T09:55:57Z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5025894F6E744C6197AA559A884C0B7E_11</vt:lpwstr>
  </property>
  <property fmtid="{D5CDD505-2E9C-101B-9397-08002B2CF9AE}" pid="4" name="KSOTemplateDocerSaveRecord">
    <vt:lpwstr>eyJoZGlkIjoiYzU2YjQyZTliZTYyYmYyYmIzMGVmZjRhMTExY2I3MTgiLCJ1c2VySWQiOiI0MDc2NTU3MTIifQ==</vt:lpwstr>
  </property>
</Properties>
</file>