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00" w:lineRule="exact"/>
        <w:jc w:val="center"/>
        <w:textAlignment w:val="auto"/>
        <w:rPr>
          <w:rFonts w:hint="eastAsia" w:ascii="黑体" w:hAnsi="黑体" w:eastAsia="黑体" w:cs="黑体"/>
          <w:b/>
          <w:bCs/>
          <w:snapToGrid/>
          <w:kern w:val="2"/>
          <w:sz w:val="44"/>
          <w:szCs w:val="44"/>
          <w:lang w:val="en-US" w:eastAsia="zh-CN"/>
        </w:rPr>
      </w:pPr>
      <w:r>
        <w:rPr>
          <w:rFonts w:hint="eastAsia" w:ascii="黑体" w:hAnsi="黑体" w:eastAsia="黑体" w:cs="黑体"/>
          <w:b/>
          <w:bCs/>
          <w:snapToGrid/>
          <w:kern w:val="2"/>
          <w:sz w:val="44"/>
          <w:szCs w:val="44"/>
          <w:lang w:eastAsia="zh-CN"/>
        </w:rPr>
        <w:t>山丹县</w:t>
      </w:r>
      <w:r>
        <w:rPr>
          <w:rFonts w:hint="eastAsia" w:ascii="黑体" w:hAnsi="黑体" w:eastAsia="黑体" w:cs="黑体"/>
          <w:b/>
          <w:bCs/>
          <w:snapToGrid/>
          <w:kern w:val="2"/>
          <w:sz w:val="44"/>
          <w:szCs w:val="44"/>
          <w:lang w:val="en-US" w:eastAsia="zh-CN"/>
        </w:rPr>
        <w:t>2023年度省政府为民办实事建设</w:t>
      </w:r>
    </w:p>
    <w:p>
      <w:pPr>
        <w:widowControl w:val="0"/>
        <w:kinsoku/>
        <w:autoSpaceDE/>
        <w:autoSpaceDN/>
        <w:adjustRightInd/>
        <w:snapToGrid/>
        <w:spacing w:line="700" w:lineRule="exact"/>
        <w:jc w:val="center"/>
        <w:textAlignment w:val="auto"/>
        <w:rPr>
          <w:rFonts w:hint="eastAsia" w:ascii="黑体" w:hAnsi="黑体" w:eastAsia="黑体" w:cs="黑体"/>
          <w:b/>
          <w:bCs/>
          <w:snapToGrid/>
          <w:kern w:val="2"/>
          <w:sz w:val="44"/>
          <w:szCs w:val="44"/>
          <w:lang w:eastAsia="zh-CN"/>
        </w:rPr>
      </w:pPr>
      <w:r>
        <w:rPr>
          <w:rFonts w:hint="eastAsia" w:ascii="黑体" w:hAnsi="黑体" w:eastAsia="黑体" w:cs="黑体"/>
          <w:b/>
          <w:bCs/>
          <w:snapToGrid/>
          <w:kern w:val="2"/>
          <w:sz w:val="44"/>
          <w:szCs w:val="44"/>
          <w:lang w:val="en-US" w:eastAsia="zh-CN"/>
        </w:rPr>
        <w:t>配套资金</w:t>
      </w:r>
      <w:r>
        <w:rPr>
          <w:rFonts w:hint="eastAsia" w:ascii="黑体" w:hAnsi="黑体" w:eastAsia="黑体" w:cs="黑体"/>
          <w:b/>
          <w:bCs/>
          <w:snapToGrid/>
          <w:kern w:val="2"/>
          <w:sz w:val="44"/>
          <w:szCs w:val="44"/>
          <w:lang w:eastAsia="zh-CN"/>
        </w:rPr>
        <w:t>（</w:t>
      </w:r>
      <w:r>
        <w:rPr>
          <w:rFonts w:hint="eastAsia" w:ascii="黑体" w:hAnsi="黑体" w:eastAsia="黑体" w:cs="黑体"/>
          <w:b/>
          <w:bCs/>
          <w:snapToGrid/>
          <w:kern w:val="2"/>
          <w:sz w:val="44"/>
          <w:szCs w:val="44"/>
          <w:lang w:val="en-US" w:eastAsia="zh-CN"/>
        </w:rPr>
        <w:t>一般公共预算</w:t>
      </w:r>
      <w:r>
        <w:rPr>
          <w:rFonts w:hint="eastAsia" w:ascii="黑体" w:hAnsi="黑体" w:eastAsia="黑体" w:cs="黑体"/>
          <w:b/>
          <w:bCs/>
          <w:snapToGrid/>
          <w:kern w:val="2"/>
          <w:sz w:val="44"/>
          <w:szCs w:val="44"/>
          <w:lang w:eastAsia="zh-CN"/>
        </w:rPr>
        <w:t>项目）</w:t>
      </w:r>
    </w:p>
    <w:p>
      <w:pPr>
        <w:widowControl w:val="0"/>
        <w:kinsoku/>
        <w:autoSpaceDE/>
        <w:autoSpaceDN/>
        <w:adjustRightInd/>
        <w:snapToGrid/>
        <w:spacing w:line="700" w:lineRule="exact"/>
        <w:jc w:val="center"/>
        <w:textAlignment w:val="auto"/>
        <w:rPr>
          <w:rFonts w:hint="eastAsia" w:ascii="黑体" w:hAnsi="黑体" w:eastAsia="黑体" w:cs="黑体"/>
          <w:b/>
          <w:bCs/>
          <w:snapToGrid/>
          <w:kern w:val="2"/>
          <w:sz w:val="44"/>
          <w:szCs w:val="44"/>
          <w:lang w:eastAsia="zh-CN"/>
        </w:rPr>
      </w:pPr>
      <w:r>
        <w:rPr>
          <w:rFonts w:hint="eastAsia" w:ascii="黑体" w:hAnsi="黑体" w:eastAsia="黑体" w:cs="黑体"/>
          <w:b/>
          <w:bCs/>
          <w:snapToGrid/>
          <w:kern w:val="2"/>
          <w:sz w:val="44"/>
          <w:szCs w:val="44"/>
          <w:lang w:eastAsia="zh-CN"/>
        </w:rPr>
        <w:t>绩效评价报告</w:t>
      </w:r>
    </w:p>
    <w:p>
      <w:pPr>
        <w:kinsoku/>
        <w:autoSpaceDE/>
        <w:autoSpaceDN/>
        <w:adjustRightInd/>
        <w:snapToGrid/>
        <w:spacing w:line="560" w:lineRule="exact"/>
        <w:jc w:val="center"/>
        <w:textAlignment w:val="center"/>
        <w:rPr>
          <w:rFonts w:hint="eastAsia" w:ascii="黑体" w:hAnsi="黑体" w:eastAsia="黑体" w:cs="黑体"/>
          <w:b/>
          <w:bCs/>
          <w:snapToGrid/>
          <w:kern w:val="2"/>
          <w:sz w:val="32"/>
          <w:szCs w:val="32"/>
          <w:lang w:eastAsia="zh-CN"/>
        </w:rPr>
      </w:pPr>
      <w:r>
        <w:rPr>
          <w:rFonts w:hint="eastAsia" w:ascii="黑体" w:hAnsi="黑体" w:eastAsia="黑体" w:cs="黑体"/>
          <w:b/>
          <w:bCs/>
          <w:snapToGrid/>
          <w:kern w:val="2"/>
          <w:sz w:val="32"/>
          <w:szCs w:val="32"/>
          <w:lang w:eastAsia="zh-CN"/>
        </w:rPr>
        <w:t xml:space="preserve">  </w:t>
      </w:r>
    </w:p>
    <w:p>
      <w:pPr>
        <w:pBdr>
          <w:top w:val="none" w:color="000000" w:sz="0" w:space="0"/>
        </w:pBd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一、项目基本情况</w:t>
      </w:r>
    </w:p>
    <w:p>
      <w:pPr>
        <w:spacing w:line="84" w:lineRule="exact"/>
        <w:rPr>
          <w:rFonts w:hint="eastAsia" w:ascii="仿宋" w:hAnsi="仿宋" w:eastAsia="仿宋" w:cs="仿宋"/>
          <w:sz w:val="28"/>
          <w:szCs w:val="28"/>
          <w:lang w:eastAsia="zh-CN"/>
        </w:rPr>
      </w:pPr>
    </w:p>
    <w:tbl>
      <w:tblPr>
        <w:tblStyle w:val="11"/>
        <w:tblW w:w="980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4"/>
        <w:gridCol w:w="2102"/>
        <w:gridCol w:w="1820"/>
        <w:gridCol w:w="432"/>
        <w:gridCol w:w="1836"/>
        <w:gridCol w:w="25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1084" w:type="dxa"/>
            <w:vMerge w:val="restart"/>
            <w:tcBorders>
              <w:tl2br w:val="nil"/>
              <w:tr2bl w:val="nil"/>
            </w:tcBorders>
            <w:textDirection w:val="tbRlV"/>
            <w:vAlign w:val="center"/>
          </w:tcPr>
          <w:p>
            <w:pPr>
              <w:pStyle w:val="10"/>
              <w:spacing w:before="227" w:line="209" w:lineRule="auto"/>
              <w:ind w:left="583"/>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基 本 情 况</w:t>
            </w:r>
          </w:p>
        </w:tc>
        <w:tc>
          <w:tcPr>
            <w:tcW w:w="2102" w:type="dxa"/>
            <w:tcBorders>
              <w:tl2br w:val="nil"/>
              <w:tr2bl w:val="nil"/>
            </w:tcBorders>
            <w:vAlign w:val="center"/>
          </w:tcPr>
          <w:p>
            <w:pPr>
              <w:pStyle w:val="10"/>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项目名称</w:t>
            </w:r>
          </w:p>
        </w:tc>
        <w:tc>
          <w:tcPr>
            <w:tcW w:w="6621" w:type="dxa"/>
            <w:gridSpan w:val="4"/>
            <w:tcBorders>
              <w:tl2br w:val="nil"/>
              <w:tr2bl w:val="nil"/>
            </w:tcBorders>
            <w:vAlign w:val="center"/>
          </w:tcPr>
          <w:p>
            <w:pPr>
              <w:pStyle w:val="10"/>
              <w:jc w:val="center"/>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eastAsia="zh-CN"/>
              </w:rPr>
              <w:t>山丹县</w:t>
            </w:r>
            <w:r>
              <w:rPr>
                <w:rFonts w:hint="eastAsia" w:ascii="仿宋" w:hAnsi="仿宋" w:eastAsia="仿宋" w:cs="仿宋"/>
                <w:snapToGrid/>
                <w:kern w:val="2"/>
                <w:sz w:val="28"/>
                <w:szCs w:val="28"/>
                <w:lang w:val="en-US" w:eastAsia="zh-CN"/>
              </w:rPr>
              <w:t>2023年度省政府为民办实事建设配套资金</w:t>
            </w:r>
          </w:p>
          <w:p>
            <w:pPr>
              <w:pStyle w:val="10"/>
              <w:jc w:val="center"/>
              <w:rPr>
                <w:rFonts w:hint="default" w:ascii="仿宋" w:hAnsi="仿宋" w:eastAsia="仿宋" w:cs="仿宋"/>
                <w:b/>
                <w:bCs/>
                <w:snapToGrid/>
                <w:kern w:val="2"/>
                <w:sz w:val="28"/>
                <w:szCs w:val="28"/>
                <w:lang w:val="en-US" w:eastAsia="zh-CN"/>
              </w:rPr>
            </w:pPr>
            <w:r>
              <w:rPr>
                <w:rFonts w:hint="eastAsia" w:ascii="仿宋" w:hAnsi="仿宋" w:eastAsia="仿宋" w:cs="仿宋"/>
                <w:snapToGrid/>
                <w:kern w:val="2"/>
                <w:sz w:val="28"/>
                <w:szCs w:val="28"/>
                <w:lang w:val="en-US" w:eastAsia="zh-CN"/>
              </w:rPr>
              <w:t>（一般公共预算项目）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评价年度</w:t>
            </w:r>
          </w:p>
        </w:tc>
        <w:tc>
          <w:tcPr>
            <w:tcW w:w="1820"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2023年度</w:t>
            </w:r>
          </w:p>
        </w:tc>
        <w:tc>
          <w:tcPr>
            <w:tcW w:w="2268"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评价类型</w:t>
            </w:r>
          </w:p>
        </w:tc>
        <w:tc>
          <w:tcPr>
            <w:tcW w:w="2533" w:type="dxa"/>
            <w:tcBorders>
              <w:tl2br w:val="nil"/>
              <w:tr2bl w:val="nil"/>
            </w:tcBorders>
            <w:vAlign w:val="center"/>
          </w:tcPr>
          <w:p>
            <w:pPr>
              <w:kinsoku/>
              <w:autoSpaceDE/>
              <w:autoSpaceDN/>
              <w:spacing w:before="180" w:beforeLines="75"/>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财政评</w:t>
            </w:r>
            <w:r>
              <w:rPr>
                <w:rFonts w:hint="eastAsia" w:ascii="仿宋" w:hAnsi="仿宋" w:eastAsia="仿宋" w:cs="仿宋"/>
                <w:snapToGrid/>
                <w:kern w:val="2"/>
                <w:sz w:val="28"/>
                <w:szCs w:val="28"/>
                <w:lang w:eastAsia="zh-CN"/>
              </w:rPr>
              <w:drawing>
                <wp:anchor distT="0" distB="0" distL="114300" distR="114300" simplePos="0" relativeHeight="251659264" behindDoc="1" locked="0" layoutInCell="1" allowOverlap="1">
                  <wp:simplePos x="0" y="0"/>
                  <wp:positionH relativeFrom="column">
                    <wp:posOffset>3307715</wp:posOffset>
                  </wp:positionH>
                  <wp:positionV relativeFrom="paragraph">
                    <wp:posOffset>33655</wp:posOffset>
                  </wp:positionV>
                  <wp:extent cx="2153920" cy="2451100"/>
                  <wp:effectExtent l="0" t="0" r="0" b="0"/>
                  <wp:wrapNone/>
                  <wp:docPr id="1" name="图片 17" descr="2021102018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20211020181437"/>
                          <pic:cNvPicPr>
                            <a:picLocks noChangeAspect="1"/>
                          </pic:cNvPicPr>
                        </pic:nvPicPr>
                        <pic:blipFill>
                          <a:blip r:embed="rId5"/>
                          <a:stretch>
                            <a:fillRect/>
                          </a:stretch>
                        </pic:blipFill>
                        <pic:spPr>
                          <a:xfrm>
                            <a:off x="0" y="0"/>
                            <a:ext cx="2153920" cy="2451100"/>
                          </a:xfrm>
                          <a:prstGeom prst="rect">
                            <a:avLst/>
                          </a:prstGeom>
                          <a:noFill/>
                          <a:ln>
                            <a:noFill/>
                          </a:ln>
                        </pic:spPr>
                      </pic:pic>
                    </a:graphicData>
                  </a:graphic>
                </wp:anchor>
              </w:drawing>
            </w:r>
            <w:r>
              <w:rPr>
                <w:rFonts w:hint="eastAsia" w:ascii="仿宋" w:hAnsi="仿宋" w:eastAsia="仿宋" w:cs="仿宋"/>
                <w:snapToGrid/>
                <w:kern w:val="2"/>
                <w:sz w:val="28"/>
                <w:szCs w:val="28"/>
                <w:lang w:eastAsia="zh-CN"/>
              </w:rPr>
              <w:t>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委托单位</w:t>
            </w:r>
          </w:p>
        </w:tc>
        <w:tc>
          <w:tcPr>
            <w:tcW w:w="1820"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山丹县</w:t>
            </w:r>
          </w:p>
          <w:p>
            <w:pPr>
              <w:kinsoku/>
              <w:autoSpaceDE/>
              <w:autoSpaceDN/>
              <w:adjustRightInd/>
              <w:snapToGrid/>
              <w:spacing w:line="560" w:lineRule="exact"/>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财政局</w:t>
            </w:r>
          </w:p>
        </w:tc>
        <w:tc>
          <w:tcPr>
            <w:tcW w:w="2268"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评价机构</w:t>
            </w:r>
          </w:p>
        </w:tc>
        <w:tc>
          <w:tcPr>
            <w:tcW w:w="2533"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甘肃坤信永诚</w:t>
            </w:r>
          </w:p>
          <w:p>
            <w:pPr>
              <w:kinsoku/>
              <w:autoSpaceDE/>
              <w:autoSpaceDN/>
              <w:adjustRightInd/>
              <w:snapToGrid/>
              <w:spacing w:line="560" w:lineRule="exact"/>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绩效评价咨询</w:t>
            </w:r>
          </w:p>
          <w:p>
            <w:pPr>
              <w:kinsoku/>
              <w:autoSpaceDE/>
              <w:autoSpaceDN/>
              <w:adjustRightInd/>
              <w:snapToGrid/>
              <w:spacing w:line="560" w:lineRule="exact"/>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服务有限公司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被评价部门</w:t>
            </w:r>
          </w:p>
        </w:tc>
        <w:tc>
          <w:tcPr>
            <w:tcW w:w="1820"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snapToGrid/>
                <w:kern w:val="2"/>
                <w:sz w:val="28"/>
                <w:szCs w:val="28"/>
                <w:lang w:eastAsia="zh-CN"/>
              </w:rPr>
              <w:t>山丹县民政局</w:t>
            </w:r>
          </w:p>
        </w:tc>
        <w:tc>
          <w:tcPr>
            <w:tcW w:w="2268"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资金性质</w:t>
            </w:r>
          </w:p>
        </w:tc>
        <w:tc>
          <w:tcPr>
            <w:tcW w:w="2533"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snapToGrid/>
                <w:kern w:val="2"/>
                <w:sz w:val="28"/>
                <w:szCs w:val="28"/>
                <w:lang w:eastAsia="zh-CN"/>
              </w:rPr>
              <w:t>一般公共预算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0" w:hRule="atLeast"/>
          <w:jc w:val="center"/>
        </w:trPr>
        <w:tc>
          <w:tcPr>
            <w:tcW w:w="1084" w:type="dxa"/>
            <w:tcBorders>
              <w:tl2br w:val="nil"/>
              <w:tr2bl w:val="nil"/>
            </w:tcBorders>
            <w:textDirection w:val="tbRlV"/>
            <w:vAlign w:val="center"/>
          </w:tcPr>
          <w:p>
            <w:pPr>
              <w:pStyle w:val="10"/>
              <w:spacing w:before="227" w:line="202" w:lineRule="auto"/>
              <w:ind w:left="447"/>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 价 目 的</w:t>
            </w:r>
          </w:p>
        </w:tc>
        <w:tc>
          <w:tcPr>
            <w:tcW w:w="8723" w:type="dxa"/>
            <w:gridSpan w:val="5"/>
            <w:tcBorders>
              <w:tl2br w:val="nil"/>
              <w:tr2bl w:val="nil"/>
            </w:tcBorders>
          </w:tcPr>
          <w:p>
            <w:pPr>
              <w:spacing w:line="560" w:lineRule="exact"/>
              <w:ind w:firstLine="560" w:firstLineChars="200"/>
              <w:rPr>
                <w:rFonts w:hint="eastAsia" w:ascii="仿宋" w:hAnsi="仿宋" w:eastAsia="仿宋" w:cs="仿宋"/>
                <w:color w:val="0070C0"/>
                <w:sz w:val="28"/>
                <w:szCs w:val="28"/>
                <w:lang w:eastAsia="zh-CN" w:bidi="ar"/>
              </w:rPr>
            </w:pPr>
            <w:r>
              <w:rPr>
                <w:rFonts w:hint="eastAsia" w:ascii="仿宋" w:hAnsi="仿宋" w:eastAsia="仿宋" w:cs="仿宋"/>
                <w:snapToGrid/>
                <w:kern w:val="2"/>
                <w:sz w:val="28"/>
                <w:szCs w:val="28"/>
                <w:lang w:eastAsia="zh-CN"/>
              </w:rPr>
              <w:t>本次绩效评价的目的旨在通过对山丹县</w:t>
            </w:r>
            <w:r>
              <w:rPr>
                <w:rFonts w:hint="eastAsia" w:ascii="仿宋" w:hAnsi="仿宋" w:eastAsia="仿宋" w:cs="仿宋"/>
                <w:snapToGrid/>
                <w:kern w:val="2"/>
                <w:sz w:val="28"/>
                <w:szCs w:val="28"/>
                <w:lang w:val="en-US" w:eastAsia="zh-CN"/>
              </w:rPr>
              <w:t>2023年度省政府为民办实事建设配套资金（一般公共预算项目）</w:t>
            </w:r>
            <w:r>
              <w:rPr>
                <w:rFonts w:hint="eastAsia" w:ascii="仿宋" w:hAnsi="仿宋" w:eastAsia="仿宋" w:cs="仿宋"/>
                <w:snapToGrid/>
                <w:kern w:val="2"/>
                <w:sz w:val="28"/>
                <w:szCs w:val="28"/>
                <w:lang w:eastAsia="zh-CN"/>
              </w:rPr>
              <w:t>绩效目标实现程度进行科学、客观、公正地衡量和评判，</w:t>
            </w:r>
            <w:r>
              <w:rPr>
                <w:rFonts w:hint="eastAsia" w:ascii="仿宋" w:hAnsi="仿宋" w:eastAsia="仿宋" w:cs="仿宋"/>
                <w:color w:val="auto"/>
                <w:sz w:val="28"/>
                <w:szCs w:val="28"/>
                <w:lang w:eastAsia="zh-CN"/>
              </w:rPr>
              <w:t>发现项目在实施过程中存在的问题及原因</w:t>
            </w:r>
            <w:r>
              <w:rPr>
                <w:rFonts w:hint="eastAsia" w:ascii="仿宋" w:hAnsi="仿宋" w:eastAsia="仿宋" w:cs="仿宋"/>
                <w:color w:val="002060"/>
                <w:sz w:val="28"/>
                <w:szCs w:val="28"/>
                <w:lang w:eastAsia="zh-CN"/>
              </w:rPr>
              <w:t>，</w:t>
            </w:r>
            <w:r>
              <w:rPr>
                <w:rFonts w:hint="eastAsia" w:ascii="仿宋" w:hAnsi="仿宋" w:eastAsia="仿宋" w:cs="仿宋"/>
                <w:sz w:val="28"/>
                <w:szCs w:val="28"/>
                <w:lang w:eastAsia="zh-CN"/>
              </w:rPr>
              <w:t>从而提出切实可行的建议；</w:t>
            </w:r>
            <w:r>
              <w:rPr>
                <w:rFonts w:hint="eastAsia" w:ascii="仿宋" w:hAnsi="仿宋" w:eastAsia="仿宋" w:cs="仿宋"/>
                <w:sz w:val="28"/>
                <w:szCs w:val="28"/>
                <w:lang w:eastAsia="zh-CN" w:bidi="ar"/>
              </w:rPr>
              <w:t>评价工作以预算资金管理为主线，从决策、过程、产出、效益等方面，衡量项目实施效果，为优化预算决策、改进管理、完善政策提供依据，</w:t>
            </w:r>
            <w:r>
              <w:rPr>
                <w:rFonts w:hint="eastAsia" w:ascii="仿宋" w:hAnsi="仿宋" w:eastAsia="仿宋" w:cs="仿宋"/>
                <w:snapToGrid/>
                <w:kern w:val="2"/>
                <w:sz w:val="28"/>
                <w:szCs w:val="28"/>
                <w:lang w:eastAsia="zh-CN"/>
              </w:rPr>
              <w:t>总结项目管理与执行经验，推动建立以绩效评价结果为导向的财政资金分配与管理制度，提升财政资金科学化、精细化管理水平；为以后年度项目的顺利实施提供重要参考依据。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1084" w:type="dxa"/>
            <w:vMerge w:val="restart"/>
            <w:tcBorders>
              <w:tl2br w:val="nil"/>
              <w:tr2bl w:val="nil"/>
            </w:tcBorders>
            <w:textDirection w:val="tbRlV"/>
            <w:vAlign w:val="center"/>
          </w:tcPr>
          <w:p>
            <w:pPr>
              <w:pStyle w:val="10"/>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（万元）</w:t>
            </w:r>
          </w:p>
          <w:p>
            <w:pPr>
              <w:pStyle w:val="10"/>
              <w:jc w:val="center"/>
              <w:rPr>
                <w:rFonts w:hint="eastAsia" w:ascii="仿宋" w:hAnsi="仿宋" w:eastAsia="仿宋" w:cs="仿宋"/>
                <w:color w:val="0070C0"/>
                <w:sz w:val="28"/>
                <w:szCs w:val="28"/>
                <w:lang w:eastAsia="zh-CN"/>
              </w:rPr>
            </w:pPr>
            <w:r>
              <w:rPr>
                <w:rFonts w:hint="eastAsia" w:ascii="仿宋" w:hAnsi="仿宋" w:eastAsia="仿宋" w:cs="仿宋"/>
                <w:b/>
                <w:bCs/>
                <w:snapToGrid/>
                <w:kern w:val="2"/>
                <w:sz w:val="28"/>
                <w:szCs w:val="28"/>
                <w:lang w:eastAsia="zh-CN"/>
              </w:rPr>
              <w:t>资金情况</w:t>
            </w:r>
          </w:p>
        </w:tc>
        <w:tc>
          <w:tcPr>
            <w:tcW w:w="2102" w:type="dxa"/>
            <w:tcBorders>
              <w:tl2br w:val="nil"/>
              <w:tr2bl w:val="nil"/>
            </w:tcBorders>
            <w:shd w:val="clear" w:color="auto" w:fill="auto"/>
            <w:vAlign w:val="center"/>
          </w:tcPr>
          <w:p>
            <w:pPr>
              <w:kinsoku/>
              <w:autoSpaceDE/>
              <w:autoSpaceDN/>
              <w:spacing w:before="216" w:beforeLines="90"/>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预算安排资金</w:t>
            </w:r>
          </w:p>
          <w:p>
            <w:pPr>
              <w:kinsoku/>
              <w:autoSpaceDE/>
              <w:autoSpaceDN/>
              <w:jc w:val="center"/>
              <w:textAlignment w:val="center"/>
              <w:rPr>
                <w:rFonts w:hint="eastAsia" w:ascii="仿宋" w:hAnsi="仿宋" w:eastAsia="仿宋" w:cs="仿宋"/>
                <w:b/>
                <w:bCs/>
                <w:snapToGrid/>
                <w:kern w:val="2"/>
                <w:sz w:val="28"/>
                <w:szCs w:val="28"/>
                <w:lang w:eastAsia="zh-CN"/>
              </w:rPr>
            </w:pPr>
          </w:p>
        </w:tc>
        <w:tc>
          <w:tcPr>
            <w:tcW w:w="2252" w:type="dxa"/>
            <w:gridSpan w:val="2"/>
            <w:tcBorders>
              <w:tl2br w:val="nil"/>
              <w:tr2bl w:val="nil"/>
            </w:tcBorders>
            <w:shd w:val="clear" w:color="auto" w:fill="auto"/>
            <w:vAlign w:val="center"/>
          </w:tcPr>
          <w:p>
            <w:pPr>
              <w:tabs>
                <w:tab w:val="left" w:pos="2496"/>
              </w:tabs>
              <w:jc w:val="center"/>
              <w:rPr>
                <w:rFonts w:hint="default" w:ascii="仿宋" w:hAnsi="仿宋" w:eastAsia="仿宋" w:cs="仿宋"/>
                <w:sz w:val="28"/>
                <w:szCs w:val="28"/>
                <w:lang w:val="en-US" w:eastAsia="zh-CN"/>
              </w:rPr>
            </w:pPr>
            <w:r>
              <w:rPr>
                <w:rFonts w:hint="eastAsia" w:ascii="仿宋" w:hAnsi="仿宋" w:eastAsia="仿宋" w:cs="仿宋"/>
                <w:snapToGrid/>
                <w:kern w:val="2"/>
                <w:sz w:val="28"/>
                <w:szCs w:val="28"/>
                <w:lang w:val="en-US" w:eastAsia="zh-CN"/>
              </w:rPr>
              <w:t>180.00</w:t>
            </w:r>
          </w:p>
        </w:tc>
        <w:tc>
          <w:tcPr>
            <w:tcW w:w="1836" w:type="dxa"/>
            <w:tcBorders>
              <w:tl2br w:val="nil"/>
              <w:tr2bl w:val="nil"/>
            </w:tcBorders>
            <w:shd w:val="clear" w:color="auto" w:fill="auto"/>
            <w:vAlign w:val="center"/>
          </w:tcPr>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color w:val="auto"/>
                <w:kern w:val="2"/>
                <w:sz w:val="28"/>
                <w:szCs w:val="28"/>
                <w:lang w:eastAsia="zh-CN"/>
              </w:rPr>
              <w:t>调整预算数</w:t>
            </w:r>
          </w:p>
        </w:tc>
        <w:tc>
          <w:tcPr>
            <w:tcW w:w="2533" w:type="dxa"/>
            <w:tcBorders>
              <w:tl2br w:val="nil"/>
              <w:tr2bl w:val="nil"/>
            </w:tcBorders>
            <w:shd w:val="clear" w:color="auto" w:fill="auto"/>
            <w:vAlign w:val="center"/>
          </w:tcPr>
          <w:p>
            <w:pPr>
              <w:jc w:val="center"/>
              <w:rPr>
                <w:rFonts w:hint="eastAsia" w:ascii="仿宋" w:hAnsi="仿宋" w:eastAsia="仿宋" w:cs="仿宋"/>
                <w:sz w:val="28"/>
                <w:szCs w:val="28"/>
                <w:lang w:eastAsia="zh-CN" w:bidi="ar"/>
              </w:rPr>
            </w:pPr>
            <w:r>
              <w:rPr>
                <w:rFonts w:hint="eastAsia" w:ascii="仿宋" w:hAnsi="仿宋" w:eastAsia="仿宋" w:cs="仿宋"/>
                <w:snapToGrid/>
                <w:kern w:val="2"/>
                <w:sz w:val="28"/>
                <w:szCs w:val="28"/>
                <w:lang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1084" w:type="dxa"/>
            <w:vMerge w:val="continue"/>
            <w:tcBorders>
              <w:tl2br w:val="nil"/>
              <w:tr2bl w:val="nil"/>
            </w:tcBorders>
            <w:textDirection w:val="tbRlV"/>
          </w:tcPr>
          <w:p>
            <w:pPr>
              <w:pStyle w:val="10"/>
              <w:jc w:val="center"/>
              <w:rPr>
                <w:rFonts w:hint="eastAsia" w:ascii="仿宋" w:hAnsi="仿宋" w:eastAsia="仿宋" w:cs="仿宋"/>
                <w:color w:val="0070C0"/>
                <w:sz w:val="28"/>
                <w:szCs w:val="28"/>
                <w:lang w:eastAsia="zh-CN"/>
              </w:rPr>
            </w:pPr>
          </w:p>
        </w:tc>
        <w:tc>
          <w:tcPr>
            <w:tcW w:w="2102" w:type="dxa"/>
            <w:tcBorders>
              <w:tl2br w:val="nil"/>
              <w:tr2bl w:val="nil"/>
            </w:tcBorders>
            <w:shd w:val="clear" w:color="auto" w:fill="auto"/>
            <w:vAlign w:val="center"/>
          </w:tcPr>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实际执行数</w:t>
            </w:r>
          </w:p>
        </w:tc>
        <w:tc>
          <w:tcPr>
            <w:tcW w:w="2252" w:type="dxa"/>
            <w:gridSpan w:val="2"/>
            <w:tcBorders>
              <w:tl2br w:val="nil"/>
              <w:tr2bl w:val="nil"/>
            </w:tcBorders>
            <w:shd w:val="clear" w:color="auto" w:fill="auto"/>
            <w:vAlign w:val="center"/>
          </w:tcPr>
          <w:p>
            <w:pPr>
              <w:tabs>
                <w:tab w:val="left" w:pos="2496"/>
              </w:tabs>
              <w:jc w:val="center"/>
              <w:rPr>
                <w:rFonts w:hint="default" w:ascii="仿宋" w:hAnsi="仿宋" w:eastAsia="仿宋" w:cs="仿宋"/>
                <w:sz w:val="28"/>
                <w:szCs w:val="28"/>
                <w:lang w:val="en-US" w:eastAsia="zh-CN"/>
              </w:rPr>
            </w:pPr>
            <w:r>
              <w:rPr>
                <w:rFonts w:hint="eastAsia" w:ascii="仿宋" w:hAnsi="仿宋" w:eastAsia="仿宋" w:cs="仿宋"/>
                <w:color w:val="auto"/>
                <w:sz w:val="32"/>
                <w:szCs w:val="32"/>
                <w:lang w:val="en-US" w:eastAsia="zh-CN"/>
              </w:rPr>
              <w:t>149.00</w:t>
            </w:r>
          </w:p>
        </w:tc>
        <w:tc>
          <w:tcPr>
            <w:tcW w:w="1836" w:type="dxa"/>
            <w:tcBorders>
              <w:tl2br w:val="nil"/>
              <w:tr2bl w:val="nil"/>
            </w:tcBorders>
            <w:shd w:val="clear" w:color="auto" w:fill="auto"/>
            <w:vAlign w:val="center"/>
          </w:tcPr>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执行率</w:t>
            </w:r>
          </w:p>
        </w:tc>
        <w:tc>
          <w:tcPr>
            <w:tcW w:w="2533" w:type="dxa"/>
            <w:tcBorders>
              <w:tl2br w:val="nil"/>
              <w:tr2bl w:val="nil"/>
            </w:tcBorders>
            <w:shd w:val="clear" w:color="auto" w:fill="auto"/>
            <w:vAlign w:val="center"/>
          </w:tcPr>
          <w:p>
            <w:pPr>
              <w:jc w:val="center"/>
              <w:rPr>
                <w:rFonts w:hint="eastAsia" w:ascii="仿宋" w:hAnsi="仿宋" w:eastAsia="仿宋" w:cs="仿宋"/>
                <w:sz w:val="28"/>
                <w:szCs w:val="28"/>
                <w:lang w:eastAsia="zh-CN" w:bidi="ar"/>
              </w:rPr>
            </w:pPr>
            <w:r>
              <w:rPr>
                <w:rFonts w:hint="eastAsia" w:ascii="仿宋" w:hAnsi="仿宋" w:eastAsia="仿宋" w:cs="仿宋"/>
                <w:snapToGrid/>
                <w:kern w:val="2"/>
                <w:sz w:val="28"/>
                <w:szCs w:val="28"/>
                <w:lang w:val="en-US" w:eastAsia="zh-CN"/>
              </w:rPr>
              <w:t>82.78</w:t>
            </w:r>
            <w:r>
              <w:rPr>
                <w:rFonts w:hint="eastAsia" w:ascii="仿宋" w:hAnsi="仿宋" w:eastAsia="仿宋" w:cs="仿宋"/>
                <w:snapToGrid/>
                <w:kern w:val="2"/>
                <w:sz w:val="28"/>
                <w:szCs w:val="28"/>
                <w:lang w:eastAsia="zh-CN"/>
              </w:rPr>
              <w:t>%</w:t>
            </w:r>
          </w:p>
        </w:tc>
      </w:tr>
    </w:tbl>
    <w:p>
      <w:pPr>
        <w:kinsoku/>
        <w:autoSpaceDE/>
        <w:autoSpaceDN/>
        <w:spacing w:before="240" w:beforeLines="100"/>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二、部门绩效目标</w:t>
      </w:r>
    </w:p>
    <w:tbl>
      <w:tblPr>
        <w:tblStyle w:val="11"/>
        <w:tblpPr w:leftFromText="180" w:rightFromText="180" w:vertAnchor="text" w:horzAnchor="page" w:tblpX="1056" w:tblpY="348"/>
        <w:tblOverlap w:val="never"/>
        <w:tblW w:w="9785" w:type="dxa"/>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75"/>
        <w:gridCol w:w="7410"/>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375" w:type="dxa"/>
            <w:tcBorders>
              <w:tl2br w:val="nil"/>
              <w:tr2bl w:val="nil"/>
            </w:tcBorders>
          </w:tcPr>
          <w:p>
            <w:pPr>
              <w:rPr>
                <w:rFonts w:hint="eastAsia" w:ascii="仿宋" w:hAnsi="仿宋" w:eastAsia="仿宋" w:cs="仿宋"/>
                <w:sz w:val="28"/>
                <w:szCs w:val="28"/>
              </w:rPr>
            </w:pPr>
          </w:p>
          <w:p>
            <w:pPr>
              <w:rPr>
                <w:rFonts w:hint="eastAsia" w:ascii="仿宋" w:hAnsi="仿宋" w:eastAsia="仿宋" w:cs="仿宋"/>
                <w:sz w:val="28"/>
                <w:szCs w:val="28"/>
              </w:rPr>
            </w:pPr>
          </w:p>
          <w:p>
            <w:pPr>
              <w:pStyle w:val="10"/>
              <w:rPr>
                <w:rFonts w:hint="eastAsia" w:ascii="仿宋" w:hAnsi="仿宋" w:eastAsia="仿宋" w:cs="仿宋"/>
                <w:spacing w:val="-1"/>
                <w:sz w:val="28"/>
                <w:szCs w:val="28"/>
              </w:rPr>
            </w:pPr>
          </w:p>
          <w:p>
            <w:pPr>
              <w:pStyle w:val="10"/>
              <w:rPr>
                <w:rFonts w:hint="eastAsia" w:ascii="仿宋" w:hAnsi="仿宋" w:eastAsia="仿宋" w:cs="仿宋"/>
                <w:spacing w:val="-1"/>
                <w:sz w:val="28"/>
                <w:szCs w:val="28"/>
              </w:rPr>
            </w:pPr>
          </w:p>
          <w:p>
            <w:pPr>
              <w:pStyle w:val="10"/>
              <w:jc w:val="center"/>
              <w:rPr>
                <w:rFonts w:hint="eastAsia" w:ascii="仿宋" w:hAnsi="仿宋" w:eastAsia="仿宋" w:cs="仿宋"/>
                <w:b/>
                <w:bCs/>
                <w:snapToGrid/>
                <w:kern w:val="2"/>
                <w:sz w:val="28"/>
                <w:szCs w:val="28"/>
                <w:lang w:eastAsia="zh-CN"/>
              </w:rPr>
            </w:pPr>
          </w:p>
          <w:p>
            <w:pPr>
              <w:pStyle w:val="10"/>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年度绩效目标</w:t>
            </w:r>
          </w:p>
        </w:tc>
        <w:tc>
          <w:tcPr>
            <w:tcW w:w="7410" w:type="dxa"/>
            <w:tcBorders>
              <w:tl2br w:val="nil"/>
              <w:tr2bl w:val="nil"/>
            </w:tcBorders>
            <w:vAlign w:val="center"/>
          </w:tcPr>
          <w:p>
            <w:pPr>
              <w:widowControl w:val="0"/>
              <w:kinsoku/>
              <w:autoSpaceDE/>
              <w:autoSpaceDN/>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napToGrid/>
                <w:color w:val="000000"/>
                <w:kern w:val="2"/>
                <w:sz w:val="28"/>
                <w:szCs w:val="28"/>
                <w:lang w:val="en-US" w:eastAsia="zh-CN" w:bidi="ar-SA"/>
              </w:rPr>
              <w:t>为深入贯彻落实党中央、国务院关于推进养老服务发展的决策部署，积极应对人口老龄化的严峻挑战，加快我省养老服务业发展，通过新建或改扩建的方式建设具备全托、日托、上门服务、对下指导等综合功能的养老服务中心，重点利用街道所辖现有养老服务设施，充分挖掘闲置社会资源，实行资源整合与共享。综合养老服务中心建成后主要为失能、半失能老年人提供全托、日托照料护理服务，同时可为辖区老年人提供居家服务、膳食供应、康复护理、文化娱乐、医疗保健、精神慰藉等综合服务。</w:t>
            </w:r>
          </w:p>
        </w:tc>
      </w:tr>
    </w:tbl>
    <w:p>
      <w:pPr>
        <w:kinsoku/>
        <w:autoSpaceDE/>
        <w:autoSpaceDN/>
        <w:adjustRightInd/>
        <w:spacing w:before="240" w:beforeLines="100" w:line="360" w:lineRule="auto"/>
        <w:jc w:val="center"/>
        <w:textAlignment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914400</wp:posOffset>
                </wp:positionV>
                <wp:extent cx="5274310" cy="6350"/>
                <wp:effectExtent l="0" t="0" r="0" b="0"/>
                <wp:wrapNone/>
                <wp:docPr id="2" name="矩形 1"/>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a:effectLst/>
                      </wps:spPr>
                      <wps:bodyPr wrap="square" upright="1"/>
                    </wps:wsp>
                  </a:graphicData>
                </a:graphic>
              </wp:anchor>
            </w:drawing>
          </mc:Choice>
          <mc:Fallback>
            <w:pict>
              <v:rect id="矩形 1" o:spid="_x0000_s1026" o:spt="1" style="position:absolute;left:0pt;margin-left:90pt;margin-top:72pt;height:0.5pt;width:415.3pt;mso-position-horizontal-relative:page;mso-position-vertical-relative:page;z-index:251660288;mso-width-relative:page;mso-height-relative:page;" fillcolor="#000000" filled="t" stroked="f" coordsize="21600,21600" o:allowincell="f" o:gfxdata="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XhTaRNcAAAAMAQAADwAAAAAAAAABACAA&#10;AAA4AAAAZHJzL2Rvd25yZXYueG1sUEsBAhQAFAAAAAgAh07iQOWtqpG/AQAAeQMAAA4AAAAAAAAA&#10;AQAgAAAAPAEAAGRycy9lMm9Eb2MueG1sUEsFBgAAAAAGAAYAWQEAAG0FAAAAAA==&#10;">
                <v:fill on="t" focussize="0,0"/>
                <v:stroke on="f"/>
                <v:imagedata o:title=""/>
                <o:lock v:ext="edit" aspectratio="f"/>
              </v:rect>
            </w:pict>
          </mc:Fallback>
        </mc:AlternateContent>
      </w:r>
      <w:r>
        <w:rPr>
          <w:rFonts w:hint="eastAsia" w:ascii="仿宋" w:hAnsi="仿宋" w:eastAsia="仿宋" w:cs="仿宋"/>
          <w:b/>
          <w:bCs/>
          <w:snapToGrid/>
          <w:kern w:val="2"/>
          <w:sz w:val="28"/>
          <w:szCs w:val="28"/>
          <w:lang w:eastAsia="zh-CN"/>
        </w:rPr>
        <w:t>三、评价基本情况</w:t>
      </w:r>
    </w:p>
    <w:tbl>
      <w:tblPr>
        <w:tblStyle w:val="11"/>
        <w:tblW w:w="1002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84"/>
        <w:gridCol w:w="74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2584" w:type="dxa"/>
            <w:tcBorders>
              <w:tl2br w:val="nil"/>
              <w:tr2bl w:val="nil"/>
            </w:tcBorders>
            <w:vAlign w:val="center"/>
          </w:tcPr>
          <w:p>
            <w:pPr>
              <w:pStyle w:val="10"/>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评价范围</w:t>
            </w:r>
          </w:p>
        </w:tc>
        <w:tc>
          <w:tcPr>
            <w:tcW w:w="7439" w:type="dxa"/>
            <w:tcBorders>
              <w:tl2br w:val="nil"/>
              <w:tr2bl w:val="nil"/>
            </w:tcBorders>
            <w:vAlign w:val="center"/>
          </w:tcPr>
          <w:p>
            <w:pPr>
              <w:pStyle w:val="10"/>
              <w:spacing w:line="560" w:lineRule="exact"/>
              <w:ind w:firstLine="560" w:firstLineChars="200"/>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对山丹县</w:t>
            </w:r>
            <w:r>
              <w:rPr>
                <w:rFonts w:hint="eastAsia" w:ascii="仿宋" w:hAnsi="仿宋" w:eastAsia="仿宋" w:cs="仿宋"/>
                <w:snapToGrid/>
                <w:kern w:val="2"/>
                <w:sz w:val="28"/>
                <w:szCs w:val="28"/>
                <w:lang w:val="en-US" w:eastAsia="zh-CN"/>
              </w:rPr>
              <w:t>2023年度省政府为民办实事建设配套资金（一般公共预算项目）</w:t>
            </w:r>
            <w:r>
              <w:rPr>
                <w:rFonts w:hint="eastAsia" w:ascii="仿宋" w:hAnsi="仿宋" w:eastAsia="仿宋" w:cs="仿宋"/>
                <w:snapToGrid/>
                <w:kern w:val="2"/>
                <w:sz w:val="28"/>
                <w:szCs w:val="28"/>
                <w:lang w:eastAsia="zh-CN"/>
              </w:rPr>
              <w:t>进行绩效评价，涵盖</w:t>
            </w:r>
            <w:r>
              <w:rPr>
                <w:rFonts w:hint="eastAsia" w:ascii="仿宋" w:hAnsi="仿宋" w:eastAsia="仿宋" w:cs="仿宋"/>
                <w:snapToGrid/>
                <w:color w:val="auto"/>
                <w:kern w:val="2"/>
                <w:sz w:val="28"/>
                <w:szCs w:val="28"/>
                <w:lang w:eastAsia="zh-CN"/>
              </w:rPr>
              <w:t>预算资金</w:t>
            </w:r>
            <w:r>
              <w:rPr>
                <w:rFonts w:hint="eastAsia" w:ascii="仿宋" w:hAnsi="仿宋" w:eastAsia="仿宋" w:cs="仿宋"/>
                <w:snapToGrid/>
                <w:color w:val="auto"/>
                <w:kern w:val="2"/>
                <w:sz w:val="28"/>
                <w:szCs w:val="28"/>
                <w:lang w:val="en-US" w:eastAsia="zh-CN"/>
              </w:rPr>
              <w:t>180</w:t>
            </w:r>
            <w:r>
              <w:rPr>
                <w:rFonts w:hint="eastAsia" w:ascii="仿宋" w:hAnsi="仿宋" w:eastAsia="仿宋" w:cs="仿宋"/>
                <w:snapToGrid/>
                <w:color w:val="auto"/>
                <w:kern w:val="2"/>
                <w:sz w:val="28"/>
                <w:szCs w:val="28"/>
                <w:lang w:eastAsia="zh-CN"/>
              </w:rPr>
              <w:t>万元。</w:t>
            </w:r>
          </w:p>
          <w:p>
            <w:pPr>
              <w:pStyle w:val="10"/>
              <w:spacing w:line="560" w:lineRule="exact"/>
              <w:ind w:firstLine="560" w:firstLineChars="200"/>
              <w:rPr>
                <w:rFonts w:hint="eastAsia" w:ascii="仿宋" w:hAnsi="仿宋" w:eastAsia="仿宋" w:cs="仿宋"/>
                <w:sz w:val="28"/>
                <w:szCs w:val="28"/>
              </w:rPr>
            </w:pPr>
            <w:r>
              <w:rPr>
                <w:rFonts w:hint="eastAsia" w:ascii="仿宋" w:hAnsi="仿宋" w:eastAsia="仿宋" w:cs="仿宋"/>
                <w:snapToGrid/>
                <w:kern w:val="2"/>
                <w:sz w:val="28"/>
                <w:szCs w:val="28"/>
                <w:lang w:eastAsia="zh-CN"/>
              </w:rPr>
              <w:t>（2023年</w:t>
            </w:r>
            <w:r>
              <w:rPr>
                <w:rFonts w:hint="eastAsia" w:ascii="仿宋" w:hAnsi="仿宋" w:eastAsia="仿宋" w:cs="仿宋"/>
                <w:snapToGrid/>
                <w:kern w:val="2"/>
                <w:sz w:val="28"/>
                <w:szCs w:val="28"/>
                <w:lang w:val="en-US" w:eastAsia="zh-CN"/>
              </w:rPr>
              <w:t>10</w:t>
            </w:r>
            <w:r>
              <w:rPr>
                <w:rFonts w:hint="eastAsia" w:ascii="仿宋" w:hAnsi="仿宋" w:eastAsia="仿宋" w:cs="仿宋"/>
                <w:snapToGrid/>
                <w:kern w:val="2"/>
                <w:sz w:val="28"/>
                <w:szCs w:val="28"/>
                <w:lang w:eastAsia="zh-CN"/>
              </w:rPr>
              <w:t>月</w:t>
            </w:r>
            <w:r>
              <w:rPr>
                <w:rFonts w:hint="eastAsia" w:ascii="仿宋" w:hAnsi="仿宋" w:eastAsia="仿宋" w:cs="仿宋"/>
                <w:snapToGrid/>
                <w:kern w:val="2"/>
                <w:sz w:val="28"/>
                <w:szCs w:val="28"/>
                <w:lang w:val="en-US" w:eastAsia="zh-CN"/>
              </w:rPr>
              <w:t>11</w:t>
            </w:r>
            <w:r>
              <w:rPr>
                <w:rFonts w:hint="eastAsia" w:ascii="仿宋" w:hAnsi="仿宋" w:eastAsia="仿宋" w:cs="仿宋"/>
                <w:snapToGrid/>
                <w:kern w:val="2"/>
                <w:sz w:val="28"/>
                <w:szCs w:val="28"/>
                <w:lang w:eastAsia="zh-CN"/>
              </w:rPr>
              <w:t>日—2024年8月1日）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584" w:type="dxa"/>
            <w:tcBorders>
              <w:tl2br w:val="nil"/>
              <w:tr2bl w:val="nil"/>
            </w:tcBorders>
          </w:tcPr>
          <w:p>
            <w:pPr>
              <w:pStyle w:val="10"/>
              <w:ind w:firstLine="1124" w:firstLineChars="400"/>
              <w:jc w:val="both"/>
              <w:rPr>
                <w:rFonts w:hint="eastAsia" w:ascii="仿宋" w:hAnsi="仿宋" w:eastAsia="仿宋" w:cs="仿宋"/>
                <w:b/>
                <w:bCs/>
                <w:snapToGrid/>
                <w:kern w:val="2"/>
                <w:sz w:val="28"/>
                <w:szCs w:val="28"/>
                <w:lang w:eastAsia="zh-CN"/>
              </w:rPr>
            </w:pPr>
          </w:p>
          <w:p>
            <w:pPr>
              <w:pStyle w:val="10"/>
              <w:ind w:firstLine="1124" w:firstLineChars="400"/>
              <w:jc w:val="both"/>
              <w:rPr>
                <w:rFonts w:hint="eastAsia" w:ascii="仿宋" w:hAnsi="仿宋" w:eastAsia="仿宋" w:cs="仿宋"/>
                <w:b/>
                <w:bCs/>
                <w:snapToGrid/>
                <w:kern w:val="2"/>
                <w:sz w:val="28"/>
                <w:szCs w:val="28"/>
                <w:lang w:eastAsia="zh-CN"/>
              </w:rPr>
            </w:pPr>
          </w:p>
          <w:p>
            <w:pPr>
              <w:pStyle w:val="10"/>
              <w:ind w:firstLine="1124" w:firstLineChars="400"/>
              <w:jc w:val="both"/>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w:t>
            </w:r>
          </w:p>
          <w:p>
            <w:pPr>
              <w:pStyle w:val="10"/>
              <w:jc w:val="center"/>
              <w:rPr>
                <w:rFonts w:hint="eastAsia" w:ascii="仿宋" w:hAnsi="仿宋" w:eastAsia="仿宋" w:cs="仿宋"/>
                <w:b/>
                <w:bCs/>
                <w:snapToGrid/>
                <w:kern w:val="2"/>
                <w:sz w:val="28"/>
                <w:szCs w:val="28"/>
                <w:lang w:eastAsia="zh-CN"/>
              </w:rPr>
            </w:pPr>
          </w:p>
          <w:p>
            <w:pPr>
              <w:pStyle w:val="10"/>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价</w:t>
            </w:r>
          </w:p>
          <w:p>
            <w:pPr>
              <w:pStyle w:val="10"/>
              <w:jc w:val="center"/>
              <w:rPr>
                <w:rFonts w:hint="eastAsia" w:ascii="仿宋" w:hAnsi="仿宋" w:eastAsia="仿宋" w:cs="仿宋"/>
                <w:b/>
                <w:bCs/>
                <w:snapToGrid/>
                <w:kern w:val="2"/>
                <w:sz w:val="28"/>
                <w:szCs w:val="28"/>
                <w:lang w:eastAsia="zh-CN"/>
              </w:rPr>
            </w:pPr>
          </w:p>
          <w:p>
            <w:pPr>
              <w:pStyle w:val="10"/>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依</w:t>
            </w:r>
          </w:p>
          <w:p>
            <w:pPr>
              <w:pStyle w:val="10"/>
              <w:jc w:val="center"/>
              <w:rPr>
                <w:rFonts w:hint="eastAsia" w:ascii="仿宋" w:hAnsi="仿宋" w:eastAsia="仿宋" w:cs="仿宋"/>
                <w:b/>
                <w:bCs/>
                <w:snapToGrid/>
                <w:kern w:val="2"/>
                <w:sz w:val="28"/>
                <w:szCs w:val="28"/>
                <w:lang w:eastAsia="zh-CN"/>
              </w:rPr>
            </w:pPr>
          </w:p>
          <w:p>
            <w:pPr>
              <w:pStyle w:val="10"/>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据</w:t>
            </w:r>
          </w:p>
        </w:tc>
        <w:tc>
          <w:tcPr>
            <w:tcW w:w="7439" w:type="dxa"/>
            <w:tcBorders>
              <w:tl2br w:val="nil"/>
              <w:tr2bl w:val="nil"/>
            </w:tcBorders>
          </w:tcPr>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1.《中华人民共和国预算法》；</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2.《财政部关于印发〈项目支出绩效评价管理办法〉的通知》（财预〔2020〕10号）；</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snapToGrid/>
                <w:kern w:val="2"/>
                <w:sz w:val="28"/>
                <w:szCs w:val="28"/>
                <w:lang w:val="en-US" w:eastAsia="zh-CN"/>
              </w:rPr>
              <w:t>3</w:t>
            </w:r>
            <w:r>
              <w:rPr>
                <w:rFonts w:hint="eastAsia" w:ascii="仿宋" w:hAnsi="仿宋" w:eastAsia="仿宋" w:cs="仿宋"/>
                <w:snapToGrid/>
                <w:kern w:val="2"/>
                <w:sz w:val="28"/>
                <w:szCs w:val="28"/>
                <w:lang w:eastAsia="zh-CN"/>
              </w:rPr>
              <w:t>.</w:t>
            </w:r>
            <w:r>
              <w:rPr>
                <w:rFonts w:hint="eastAsia" w:ascii="仿宋" w:hAnsi="仿宋" w:eastAsia="仿宋" w:cs="仿宋"/>
                <w:color w:val="auto"/>
                <w:sz w:val="28"/>
                <w:szCs w:val="28"/>
                <w:highlight w:val="none"/>
                <w:lang w:val="en-US" w:eastAsia="zh-CN"/>
              </w:rPr>
              <w:t>《财政部关于推进预算绩效管理的指导意见》（财预〔2011〕416号）；</w:t>
            </w:r>
          </w:p>
          <w:p>
            <w:pPr>
              <w:pStyle w:val="2"/>
              <w:pageBreakBefore w:val="0"/>
              <w:wordWrap/>
              <w:overflowPunct/>
              <w:topLinePunct w:val="0"/>
              <w:bidi w:val="0"/>
              <w:adjustRightInd w:val="0"/>
              <w:snapToGrid w:val="0"/>
              <w:spacing w:line="560" w:lineRule="exact"/>
              <w:rPr>
                <w:rFonts w:hint="eastAsia"/>
                <w:highlight w:val="yellow"/>
                <w:lang w:val="en-US" w:eastAsia="zh-CN"/>
              </w:rPr>
            </w:pPr>
            <w:r>
              <w:rPr>
                <w:rFonts w:hint="eastAsia" w:ascii="仿宋" w:hAnsi="仿宋" w:eastAsia="仿宋" w:cs="仿宋"/>
                <w:color w:val="auto"/>
                <w:sz w:val="28"/>
                <w:szCs w:val="28"/>
                <w:highlight w:val="none"/>
                <w:lang w:val="en-US" w:eastAsia="zh-CN"/>
              </w:rPr>
              <w:t>4.《财政部关于印发〈预算绩效管理工作规划（2012—2015年）〉的通知》（财预〔2012〕396号）；</w:t>
            </w:r>
          </w:p>
          <w:p>
            <w:pPr>
              <w:pageBreakBefore w:val="0"/>
              <w:kinsoku/>
              <w:wordWrap/>
              <w:overflowPunct/>
              <w:topLinePunct w:val="0"/>
              <w:autoSpaceDE/>
              <w:autoSpaceDN/>
              <w:bidi w:val="0"/>
              <w:adjustRightInd w:val="0"/>
              <w:snapToGrid w:val="0"/>
              <w:spacing w:line="560" w:lineRule="exac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snapToGrid/>
                <w:kern w:val="2"/>
                <w:sz w:val="28"/>
                <w:szCs w:val="28"/>
                <w:lang w:val="en-US" w:eastAsia="zh-CN"/>
              </w:rPr>
              <w:t>5</w:t>
            </w:r>
            <w:r>
              <w:rPr>
                <w:rFonts w:hint="eastAsia" w:ascii="仿宋" w:hAnsi="仿宋" w:eastAsia="仿宋" w:cs="仿宋"/>
                <w:snapToGrid/>
                <w:kern w:val="2"/>
                <w:sz w:val="28"/>
                <w:szCs w:val="28"/>
                <w:lang w:eastAsia="zh-CN"/>
              </w:rPr>
              <w:t>.</w:t>
            </w:r>
            <w:r>
              <w:rPr>
                <w:rFonts w:hint="default" w:ascii="仿宋" w:hAnsi="仿宋" w:eastAsia="仿宋" w:cs="仿宋"/>
                <w:color w:val="auto"/>
                <w:sz w:val="28"/>
                <w:szCs w:val="28"/>
                <w:highlight w:val="none"/>
                <w:lang w:val="en-US" w:eastAsia="zh-CN"/>
              </w:rPr>
              <w:t>《财政部关于规范绩效评价结果等级划分标准的通知》</w:t>
            </w:r>
          </w:p>
          <w:p>
            <w:pPr>
              <w:pageBreakBefore w:val="0"/>
              <w:kinsoku/>
              <w:wordWrap/>
              <w:overflowPunct/>
              <w:topLinePunct w:val="0"/>
              <w:autoSpaceDE/>
              <w:autoSpaceDN/>
              <w:bidi w:val="0"/>
              <w:adjustRightInd w:val="0"/>
              <w:snapToGrid w:val="0"/>
              <w:spacing w:line="560" w:lineRule="exact"/>
              <w:textAlignment w:val="center"/>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（财预便〔2017〕44号）</w:t>
            </w:r>
            <w:r>
              <w:rPr>
                <w:rFonts w:hint="eastAsia" w:ascii="仿宋" w:hAnsi="仿宋" w:eastAsia="仿宋" w:cs="仿宋"/>
                <w:color w:val="auto"/>
                <w:sz w:val="28"/>
                <w:szCs w:val="28"/>
                <w:highlight w:val="none"/>
                <w:lang w:val="en-US" w:eastAsia="zh-CN"/>
              </w:rPr>
              <w:t>；</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6.</w:t>
            </w:r>
            <w:r>
              <w:rPr>
                <w:rFonts w:hint="eastAsia" w:ascii="仿宋" w:hAnsi="仿宋" w:eastAsia="仿宋" w:cs="仿宋"/>
                <w:color w:val="auto"/>
                <w:sz w:val="28"/>
                <w:szCs w:val="28"/>
                <w:highlight w:val="none"/>
                <w:lang w:val="en-US" w:eastAsia="zh-CN"/>
              </w:rPr>
              <w:t>《关于全面实施预算绩效管理的意见》（中发〔2018〕34号）</w:t>
            </w:r>
            <w:r>
              <w:rPr>
                <w:rFonts w:hint="eastAsia" w:ascii="仿宋" w:hAnsi="仿宋" w:eastAsia="仿宋" w:cs="仿宋"/>
                <w:snapToGrid/>
                <w:kern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napToGrid/>
                <w:kern w:val="2"/>
                <w:sz w:val="28"/>
                <w:szCs w:val="28"/>
                <w:highlight w:val="none"/>
                <w:lang w:eastAsia="zh-CN"/>
              </w:rPr>
              <w:t>7.</w:t>
            </w:r>
            <w:r>
              <w:rPr>
                <w:rFonts w:hint="default" w:ascii="仿宋" w:hAnsi="仿宋" w:eastAsia="仿宋" w:cs="仿宋"/>
                <w:color w:val="auto"/>
                <w:sz w:val="28"/>
                <w:szCs w:val="28"/>
                <w:highlight w:val="none"/>
                <w:lang w:val="en-US" w:eastAsia="zh-CN"/>
              </w:rPr>
              <w:t>《中共中央 国务院关于全面实施预算绩效管理的意见》</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napToGrid/>
                <w:kern w:val="2"/>
                <w:sz w:val="28"/>
                <w:szCs w:val="28"/>
                <w:lang w:eastAsia="zh-CN"/>
              </w:rPr>
            </w:pPr>
            <w:r>
              <w:rPr>
                <w:rFonts w:hint="default" w:ascii="仿宋" w:hAnsi="仿宋" w:eastAsia="仿宋" w:cs="仿宋"/>
                <w:color w:val="auto"/>
                <w:sz w:val="28"/>
                <w:szCs w:val="28"/>
                <w:highlight w:val="none"/>
                <w:lang w:val="en-US" w:eastAsia="zh-CN"/>
              </w:rPr>
              <w:t>（中发〔2018〕34号）</w:t>
            </w:r>
            <w:r>
              <w:rPr>
                <w:rFonts w:hint="eastAsia" w:ascii="仿宋" w:hAnsi="仿宋" w:eastAsia="仿宋" w:cs="仿宋"/>
                <w:color w:val="auto"/>
                <w:sz w:val="28"/>
                <w:szCs w:val="28"/>
                <w:lang w:eastAsia="zh-CN"/>
              </w:rPr>
              <w:t>；</w:t>
            </w:r>
          </w:p>
          <w:p>
            <w:pPr>
              <w:pageBreakBefore w:val="0"/>
              <w:widowControl w:val="0"/>
              <w:numPr>
                <w:ilvl w:val="0"/>
                <w:numId w:val="1"/>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甘肃省财政厅关于贯彻落实〈中共甘肃省委甘肃省人民政</w:t>
            </w:r>
          </w:p>
          <w:p>
            <w:pPr>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napToGrid/>
                <w:kern w:val="2"/>
                <w:sz w:val="28"/>
                <w:szCs w:val="28"/>
                <w:lang w:eastAsia="zh-CN"/>
              </w:rPr>
            </w:pPr>
            <w:r>
              <w:rPr>
                <w:rFonts w:hint="eastAsia" w:ascii="仿宋" w:hAnsi="仿宋" w:eastAsia="仿宋" w:cs="仿宋"/>
                <w:color w:val="auto"/>
                <w:sz w:val="28"/>
                <w:szCs w:val="28"/>
                <w:lang w:eastAsia="zh-CN"/>
              </w:rPr>
              <w:t>府关于全面实施预算绩效管理的实施意见〉的通知（甘财绩〔2019〕6号）</w:t>
            </w:r>
            <w:r>
              <w:rPr>
                <w:rFonts w:hint="eastAsia" w:ascii="仿宋" w:hAnsi="仿宋" w:eastAsia="仿宋" w:cs="仿宋"/>
                <w:snapToGrid/>
                <w:kern w:val="2"/>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《财政部关于印发〈预算绩效评价共性指标体系框架〉的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both"/>
              <w:textAlignment w:val="auto"/>
              <w:rPr>
                <w:rFonts w:hint="eastAsia" w:ascii="仿宋" w:hAnsi="仿宋" w:eastAsia="仿宋" w:cs="仿宋"/>
                <w:snapToGrid/>
                <w:kern w:val="2"/>
                <w:sz w:val="28"/>
                <w:szCs w:val="28"/>
                <w:lang w:eastAsia="zh-CN"/>
              </w:rPr>
            </w:pPr>
            <w:r>
              <w:rPr>
                <w:rFonts w:hint="default" w:ascii="仿宋" w:hAnsi="仿宋" w:eastAsia="仿宋" w:cs="仿宋"/>
                <w:color w:val="auto"/>
                <w:sz w:val="28"/>
                <w:szCs w:val="28"/>
                <w:highlight w:val="none"/>
                <w:lang w:val="en-US" w:eastAsia="zh-CN"/>
              </w:rPr>
              <w:t>通知》（财预〔2013〕53号）</w:t>
            </w:r>
            <w:r>
              <w:rPr>
                <w:rFonts w:hint="eastAsia" w:ascii="仿宋" w:hAnsi="仿宋" w:eastAsia="仿宋" w:cs="仿宋"/>
                <w:snapToGrid/>
                <w:kern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napToGrid/>
                <w:kern w:val="2"/>
                <w:sz w:val="28"/>
                <w:szCs w:val="28"/>
                <w:lang w:eastAsia="zh-CN"/>
              </w:rPr>
              <w:t>10.</w:t>
            </w:r>
            <w:r>
              <w:rPr>
                <w:rFonts w:hint="eastAsia" w:ascii="仿宋" w:hAnsi="仿宋" w:eastAsia="仿宋" w:cs="仿宋"/>
                <w:color w:val="auto"/>
                <w:sz w:val="28"/>
                <w:szCs w:val="28"/>
                <w:highlight w:val="none"/>
                <w:lang w:val="en-US" w:eastAsia="zh-CN"/>
              </w:rPr>
              <w:t>《甘肃省财政厅关于贯彻落实〈中共甘肃省委甘肃省人民政府关于全面实施预算绩效管理的实施意见〉》的通知</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color w:val="auto"/>
                <w:sz w:val="28"/>
                <w:szCs w:val="28"/>
                <w:highlight w:val="none"/>
                <w:lang w:val="en-US" w:eastAsia="zh-CN"/>
              </w:rPr>
              <w:t>（甘财绩〔2019〕6号）</w:t>
            </w:r>
            <w:r>
              <w:rPr>
                <w:rFonts w:hint="eastAsia" w:ascii="仿宋" w:hAnsi="仿宋" w:eastAsia="仿宋" w:cs="仿宋"/>
                <w:snapToGrid/>
                <w:kern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napToGrid/>
                <w:kern w:val="2"/>
                <w:sz w:val="28"/>
                <w:szCs w:val="28"/>
                <w:highlight w:val="none"/>
                <w:lang w:eastAsia="zh-CN"/>
              </w:rPr>
              <w:t>11.</w:t>
            </w:r>
            <w:r>
              <w:rPr>
                <w:rFonts w:hint="eastAsia" w:ascii="仿宋" w:hAnsi="仿宋" w:eastAsia="仿宋" w:cs="仿宋"/>
                <w:color w:val="auto"/>
                <w:sz w:val="28"/>
                <w:szCs w:val="28"/>
                <w:highlight w:val="none"/>
                <w:lang w:val="en-US" w:eastAsia="zh-CN"/>
              </w:rPr>
              <w:t>甘肃省财政厅印发的《甘肃省省级预算绩效管理办法》</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color w:val="auto"/>
                <w:sz w:val="28"/>
                <w:szCs w:val="28"/>
                <w:highlight w:val="none"/>
                <w:lang w:val="en-US" w:eastAsia="zh-CN"/>
              </w:rPr>
              <w:t>（甘财绩〔2020〕5号）</w:t>
            </w:r>
            <w:r>
              <w:rPr>
                <w:rFonts w:hint="eastAsia" w:ascii="仿宋" w:hAnsi="仿宋" w:eastAsia="仿宋" w:cs="仿宋"/>
                <w:snapToGrid/>
                <w:kern w:val="2"/>
                <w:sz w:val="28"/>
                <w:szCs w:val="28"/>
                <w:lang w:eastAsia="zh-CN"/>
              </w:rPr>
              <w:t>；</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12.</w:t>
            </w:r>
            <w:r>
              <w:rPr>
                <w:rFonts w:hint="eastAsia" w:ascii="仿宋" w:hAnsi="仿宋" w:eastAsia="仿宋" w:cs="仿宋"/>
                <w:color w:val="auto"/>
                <w:sz w:val="28"/>
                <w:szCs w:val="28"/>
                <w:lang w:eastAsia="zh-CN"/>
              </w:rPr>
              <w:t>民政部、财政部联合印发《关于组织开展中央财政支持经济困难失能老年人集中照护服务工作的通知》</w:t>
            </w:r>
            <w:r>
              <w:rPr>
                <w:rFonts w:hint="eastAsia" w:ascii="仿宋" w:hAnsi="仿宋" w:eastAsia="仿宋" w:cs="仿宋"/>
                <w:snapToGrid/>
                <w:kern w:val="2"/>
                <w:sz w:val="28"/>
                <w:szCs w:val="28"/>
                <w:lang w:eastAsia="zh-CN"/>
              </w:rPr>
              <w:t>；</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13.</w:t>
            </w:r>
            <w:r>
              <w:rPr>
                <w:rFonts w:hint="eastAsia" w:ascii="仿宋" w:hAnsi="仿宋" w:eastAsia="仿宋" w:cs="仿宋"/>
                <w:color w:val="auto"/>
                <w:sz w:val="28"/>
                <w:szCs w:val="28"/>
                <w:lang w:eastAsia="zh-CN"/>
              </w:rPr>
              <w:t>《甘肃省“十四五”养老服务体系建设规划》</w:t>
            </w:r>
            <w:r>
              <w:rPr>
                <w:rFonts w:hint="eastAsia" w:ascii="仿宋" w:hAnsi="仿宋" w:eastAsia="仿宋" w:cs="仿宋"/>
                <w:snapToGrid/>
                <w:kern w:val="2"/>
                <w:sz w:val="28"/>
                <w:szCs w:val="28"/>
                <w:lang w:eastAsia="zh-CN"/>
              </w:rPr>
              <w:t>；</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14.</w:t>
            </w:r>
            <w:r>
              <w:rPr>
                <w:rFonts w:hint="eastAsia" w:ascii="仿宋" w:hAnsi="仿宋" w:eastAsia="仿宋" w:cs="仿宋"/>
                <w:color w:val="auto"/>
                <w:sz w:val="28"/>
                <w:szCs w:val="28"/>
                <w:lang w:eastAsia="zh-CN"/>
              </w:rPr>
              <w:t>《甘肃省人民政府关于印发“十四五”老龄事业发展和养老服务体系规划的通知》（甘政发〔2022〕124号）</w:t>
            </w:r>
            <w:r>
              <w:rPr>
                <w:rFonts w:hint="eastAsia" w:ascii="仿宋" w:hAnsi="仿宋" w:eastAsia="仿宋" w:cs="仿宋"/>
                <w:snapToGrid/>
                <w:kern w:val="2"/>
                <w:sz w:val="28"/>
                <w:szCs w:val="28"/>
                <w:lang w:eastAsia="zh-CN"/>
              </w:rPr>
              <w:t>；</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15.</w:t>
            </w:r>
            <w:r>
              <w:rPr>
                <w:rFonts w:hint="eastAsia" w:ascii="仿宋" w:hAnsi="仿宋" w:eastAsia="仿宋" w:cs="仿宋"/>
                <w:color w:val="auto"/>
                <w:sz w:val="28"/>
                <w:szCs w:val="28"/>
                <w:lang w:eastAsia="zh-CN"/>
              </w:rPr>
              <w:t>《甘肃省养老服务条例》</w:t>
            </w:r>
            <w:r>
              <w:rPr>
                <w:rFonts w:hint="eastAsia" w:ascii="仿宋" w:hAnsi="仿宋" w:eastAsia="仿宋" w:cs="仿宋"/>
                <w:snapToGrid/>
                <w:kern w:val="2"/>
                <w:sz w:val="28"/>
                <w:szCs w:val="28"/>
                <w:lang w:eastAsia="zh-CN"/>
              </w:rPr>
              <w:t>；</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color w:val="auto"/>
                <w:sz w:val="28"/>
                <w:szCs w:val="28"/>
                <w:lang w:eastAsia="zh-CN"/>
              </w:rPr>
            </w:pPr>
            <w:r>
              <w:rPr>
                <w:rFonts w:hint="eastAsia" w:ascii="仿宋" w:hAnsi="仿宋" w:eastAsia="仿宋" w:cs="仿宋"/>
                <w:snapToGrid/>
                <w:kern w:val="2"/>
                <w:sz w:val="28"/>
                <w:szCs w:val="28"/>
                <w:lang w:eastAsia="zh-CN"/>
              </w:rPr>
              <w:t>16.</w:t>
            </w:r>
            <w:r>
              <w:rPr>
                <w:rFonts w:hint="eastAsia" w:ascii="仿宋" w:hAnsi="仿宋" w:eastAsia="仿宋" w:cs="仿宋"/>
                <w:color w:val="auto"/>
                <w:sz w:val="28"/>
                <w:szCs w:val="28"/>
                <w:highlight w:val="none"/>
                <w:lang w:val="en-US" w:eastAsia="zh-CN"/>
              </w:rPr>
              <w:t>《山丹县发展和改革局关于山丹县2023年乡镇综合养老服务中心改建项目实施方案的批复》（山发改〔2023〕64号）</w:t>
            </w:r>
            <w:r>
              <w:rPr>
                <w:rFonts w:hint="eastAsia" w:ascii="仿宋" w:hAnsi="仿宋" w:eastAsia="仿宋" w:cs="仿宋"/>
                <w:color w:val="auto"/>
                <w:sz w:val="28"/>
                <w:szCs w:val="28"/>
                <w:lang w:eastAsia="zh-CN"/>
              </w:rPr>
              <w:t>；</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17.</w:t>
            </w:r>
            <w:r>
              <w:rPr>
                <w:rFonts w:hint="eastAsia" w:ascii="仿宋" w:hAnsi="仿宋" w:eastAsia="仿宋" w:cs="仿宋"/>
                <w:color w:val="auto"/>
                <w:sz w:val="28"/>
                <w:szCs w:val="28"/>
                <w:highlight w:val="none"/>
                <w:lang w:val="en-US" w:eastAsia="zh-CN"/>
              </w:rPr>
              <w:t>《张掖市人民政府办公室关于印发落实2023年省委省政府为民办实事实施方案的通知》（张政办发〔2023〕25号）；</w:t>
            </w:r>
          </w:p>
          <w:p>
            <w:pPr>
              <w:pageBreakBefore w:val="0"/>
              <w:kinsoku/>
              <w:wordWrap/>
              <w:overflowPunct/>
              <w:topLinePunct w:val="0"/>
              <w:autoSpaceDE/>
              <w:autoSpaceDN/>
              <w:bidi w:val="0"/>
              <w:adjustRightInd w:val="0"/>
              <w:snapToGrid w:val="0"/>
              <w:spacing w:line="560" w:lineRule="exact"/>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18.</w:t>
            </w:r>
            <w:r>
              <w:rPr>
                <w:rFonts w:hint="eastAsia" w:ascii="仿宋" w:hAnsi="仿宋" w:eastAsia="仿宋" w:cs="仿宋"/>
                <w:color w:val="auto"/>
                <w:sz w:val="28"/>
                <w:szCs w:val="28"/>
                <w:highlight w:val="none"/>
                <w:lang w:val="en-US" w:eastAsia="zh-CN"/>
              </w:rPr>
              <w:t>《山丹县人民政府办公室关于印发落实2023年省委省政府为民办实事实施方案的通知》（山政办发〔2023〕11号）</w:t>
            </w:r>
            <w:r>
              <w:rPr>
                <w:rFonts w:hint="eastAsia" w:ascii="仿宋" w:hAnsi="仿宋" w:eastAsia="仿宋" w:cs="仿宋"/>
                <w:color w:val="auto"/>
                <w:sz w:val="28"/>
                <w:szCs w:val="28"/>
                <w:lang w:eastAsia="zh-CN"/>
              </w:rPr>
              <w:t>；</w:t>
            </w:r>
          </w:p>
          <w:p>
            <w:pPr>
              <w:pageBreakBefore w:val="0"/>
              <w:kinsoku/>
              <w:wordWrap/>
              <w:overflowPunct/>
              <w:topLinePunct w:val="0"/>
              <w:autoSpaceDE/>
              <w:autoSpaceDN/>
              <w:bidi w:val="0"/>
              <w:adjustRightInd w:val="0"/>
              <w:snapToGrid w:val="0"/>
              <w:spacing w:line="560" w:lineRule="exac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eastAsia="zh-CN"/>
              </w:rPr>
              <w:t>19.</w:t>
            </w:r>
            <w:r>
              <w:rPr>
                <w:rFonts w:hint="eastAsia" w:ascii="仿宋" w:hAnsi="仿宋" w:eastAsia="仿宋" w:cs="仿宋"/>
                <w:color w:val="auto"/>
                <w:sz w:val="28"/>
                <w:szCs w:val="28"/>
                <w:highlight w:val="none"/>
                <w:lang w:val="en-US" w:eastAsia="zh-CN"/>
              </w:rPr>
              <w:t>项目其他相关资料和数据。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2584" w:type="dxa"/>
            <w:tcBorders>
              <w:tl2br w:val="nil"/>
              <w:tr2bl w:val="nil"/>
            </w:tcBorders>
          </w:tcPr>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绩效评价</w:t>
            </w: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指标体系</w:t>
            </w:r>
          </w:p>
        </w:tc>
        <w:tc>
          <w:tcPr>
            <w:tcW w:w="7439" w:type="dxa"/>
            <w:tcBorders>
              <w:tl2br w:val="nil"/>
              <w:tr2bl w:val="nil"/>
            </w:tcBorders>
          </w:tcPr>
          <w:p>
            <w:pPr>
              <w:kinsoku/>
              <w:autoSpaceDE/>
              <w:autoSpaceDN/>
              <w:spacing w:line="360" w:lineRule="auto"/>
              <w:ind w:firstLine="560" w:firstLineChars="200"/>
              <w:textAlignment w:val="center"/>
              <w:rPr>
                <w:rFonts w:hint="eastAsia" w:ascii="仿宋" w:hAnsi="仿宋" w:eastAsia="仿宋" w:cs="仿宋"/>
                <w:bCs/>
                <w:snapToGrid/>
                <w:kern w:val="2"/>
                <w:sz w:val="28"/>
                <w:szCs w:val="28"/>
                <w:lang w:eastAsia="zh-CN"/>
              </w:rPr>
            </w:pPr>
            <w:r>
              <w:rPr>
                <w:rFonts w:hint="eastAsia" w:ascii="仿宋" w:hAnsi="仿宋" w:eastAsia="仿宋" w:cs="仿宋"/>
                <w:bCs/>
                <w:snapToGrid/>
                <w:kern w:val="2"/>
                <w:sz w:val="28"/>
                <w:szCs w:val="28"/>
                <w:lang w:eastAsia="zh-CN"/>
              </w:rPr>
              <w:t>按照《项目支出绩效评价管理办法》（财预〔2020〕10号）的有关要求，遵循相关性、重要性、可比性、系统性</w:t>
            </w:r>
            <w:r>
              <w:rPr>
                <w:rFonts w:hint="eastAsia" w:ascii="仿宋" w:hAnsi="仿宋" w:eastAsia="仿宋" w:cs="仿宋"/>
                <w:bCs/>
                <w:snapToGrid/>
                <w:color w:val="auto"/>
                <w:kern w:val="2"/>
                <w:sz w:val="28"/>
                <w:szCs w:val="28"/>
                <w:lang w:eastAsia="zh-CN"/>
              </w:rPr>
              <w:t>及经济性的原则</w:t>
            </w:r>
            <w:r>
              <w:rPr>
                <w:rFonts w:hint="eastAsia" w:ascii="仿宋" w:hAnsi="仿宋" w:eastAsia="仿宋" w:cs="仿宋"/>
                <w:bCs/>
                <w:snapToGrid/>
                <w:kern w:val="2"/>
                <w:sz w:val="28"/>
                <w:szCs w:val="28"/>
                <w:lang w:eastAsia="zh-CN"/>
              </w:rPr>
              <w:t>，结合项目的自身特点，此次绩效评价指标体系分别从决策、过程、产出及效益四个方面进行设计。本次绩效评价指标体系由4项一级指标、1</w:t>
            </w:r>
            <w:r>
              <w:rPr>
                <w:rFonts w:hint="eastAsia" w:ascii="仿宋" w:hAnsi="仿宋" w:eastAsia="仿宋" w:cs="仿宋"/>
                <w:bCs/>
                <w:snapToGrid/>
                <w:kern w:val="2"/>
                <w:sz w:val="28"/>
                <w:szCs w:val="28"/>
                <w:lang w:val="en-US" w:eastAsia="zh-CN"/>
              </w:rPr>
              <w:t>4</w:t>
            </w:r>
            <w:r>
              <w:rPr>
                <w:rFonts w:hint="eastAsia" w:ascii="仿宋" w:hAnsi="仿宋" w:eastAsia="仿宋" w:cs="仿宋"/>
                <w:bCs/>
                <w:snapToGrid/>
                <w:kern w:val="2"/>
                <w:sz w:val="28"/>
                <w:szCs w:val="28"/>
                <w:lang w:eastAsia="zh-CN"/>
              </w:rPr>
              <w:t>项二级指标、</w:t>
            </w:r>
            <w:r>
              <w:rPr>
                <w:rFonts w:hint="eastAsia" w:ascii="仿宋" w:hAnsi="仿宋" w:eastAsia="仿宋" w:cs="仿宋"/>
                <w:bCs/>
                <w:snapToGrid/>
                <w:kern w:val="2"/>
                <w:sz w:val="28"/>
                <w:szCs w:val="28"/>
                <w:lang w:val="en-US" w:eastAsia="zh-CN"/>
              </w:rPr>
              <w:t>31</w:t>
            </w:r>
            <w:r>
              <w:rPr>
                <w:rFonts w:hint="eastAsia" w:ascii="仿宋" w:hAnsi="仿宋" w:eastAsia="仿宋" w:cs="仿宋"/>
                <w:bCs/>
                <w:snapToGrid/>
                <w:kern w:val="2"/>
                <w:sz w:val="28"/>
                <w:szCs w:val="28"/>
                <w:lang w:eastAsia="zh-CN"/>
              </w:rPr>
              <w:t>项三级指标组成。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2584" w:type="dxa"/>
            <w:tcBorders>
              <w:tl2br w:val="nil"/>
              <w:tr2bl w:val="nil"/>
            </w:tcBorders>
            <w:vAlign w:val="center"/>
          </w:tcPr>
          <w:p>
            <w:pPr>
              <w:pStyle w:val="10"/>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评价办法</w:t>
            </w:r>
          </w:p>
        </w:tc>
        <w:tc>
          <w:tcPr>
            <w:tcW w:w="7439" w:type="dxa"/>
            <w:tcBorders>
              <w:tl2br w:val="nil"/>
              <w:tr2bl w:val="nil"/>
            </w:tcBorders>
            <w:vAlign w:val="center"/>
          </w:tcPr>
          <w:p>
            <w:pPr>
              <w:pStyle w:val="10"/>
              <w:spacing w:before="119" w:line="560" w:lineRule="exact"/>
              <w:ind w:right="115"/>
              <w:rPr>
                <w:rFonts w:hint="eastAsia" w:ascii="仿宋" w:hAnsi="仿宋" w:eastAsia="仿宋" w:cs="仿宋"/>
                <w:sz w:val="28"/>
                <w:szCs w:val="28"/>
                <w:lang w:eastAsia="zh-CN"/>
              </w:rPr>
            </w:pPr>
            <w:r>
              <w:rPr>
                <w:rFonts w:hint="eastAsia" w:ascii="仿宋" w:hAnsi="仿宋" w:eastAsia="仿宋" w:cs="仿宋"/>
                <w:snapToGrid/>
                <w:kern w:val="2"/>
                <w:sz w:val="28"/>
                <w:szCs w:val="28"/>
                <w:lang w:eastAsia="zh-CN"/>
              </w:rPr>
              <w:t>成本效益分析法、比较分析法、询问查证法、公众评判法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84" w:type="dxa"/>
            <w:tcBorders>
              <w:tl2br w:val="nil"/>
              <w:tr2bl w:val="nil"/>
            </w:tcBorders>
            <w:vAlign w:val="center"/>
          </w:tcPr>
          <w:p>
            <w:pPr>
              <w:widowControl w:val="0"/>
              <w:kinsoku/>
              <w:autoSpaceDE/>
              <w:autoSpaceDN/>
              <w:spacing w:line="360" w:lineRule="auto"/>
              <w:jc w:val="center"/>
              <w:textAlignment w:val="auto"/>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数据采集及</w:t>
            </w:r>
          </w:p>
          <w:p>
            <w:pPr>
              <w:widowControl w:val="0"/>
              <w:kinsoku/>
              <w:autoSpaceDE/>
              <w:autoSpaceDN/>
              <w:spacing w:line="360" w:lineRule="auto"/>
              <w:jc w:val="center"/>
              <w:textAlignment w:val="auto"/>
              <w:rPr>
                <w:rFonts w:hint="eastAsia" w:ascii="仿宋" w:hAnsi="仿宋" w:eastAsia="仿宋" w:cs="仿宋"/>
                <w:sz w:val="28"/>
                <w:szCs w:val="28"/>
                <w:lang w:eastAsia="zh-CN" w:bidi="ar"/>
              </w:rPr>
            </w:pPr>
            <w:r>
              <w:rPr>
                <w:rFonts w:hint="eastAsia" w:ascii="仿宋" w:hAnsi="仿宋" w:eastAsia="仿宋" w:cs="仿宋"/>
                <w:b/>
                <w:bCs/>
                <w:snapToGrid/>
                <w:kern w:val="2"/>
                <w:sz w:val="28"/>
                <w:szCs w:val="28"/>
                <w:lang w:eastAsia="zh-CN"/>
              </w:rPr>
              <w:t>处理办法</w:t>
            </w:r>
          </w:p>
        </w:tc>
        <w:tc>
          <w:tcPr>
            <w:tcW w:w="7439" w:type="dxa"/>
            <w:tcBorders>
              <w:tl2br w:val="nil"/>
              <w:tr2bl w:val="nil"/>
            </w:tcBorders>
          </w:tcPr>
          <w:p>
            <w:pPr>
              <w:widowControl w:val="0"/>
              <w:kinsoku/>
              <w:autoSpaceDE/>
              <w:autoSpaceDN/>
              <w:spacing w:line="360" w:lineRule="auto"/>
              <w:ind w:firstLine="560" w:firstLineChars="200"/>
              <w:jc w:val="both"/>
              <w:textAlignment w:val="auto"/>
              <w:rPr>
                <w:rFonts w:hint="eastAsia" w:ascii="仿宋" w:hAnsi="仿宋" w:eastAsia="仿宋" w:cs="仿宋"/>
                <w:sz w:val="28"/>
                <w:szCs w:val="28"/>
                <w:lang w:eastAsia="zh-CN" w:bidi="ar"/>
              </w:rPr>
            </w:pPr>
            <w:r>
              <w:rPr>
                <w:rFonts w:hint="eastAsia" w:ascii="仿宋" w:hAnsi="仿宋" w:eastAsia="仿宋" w:cs="仿宋"/>
                <w:snapToGrid/>
                <w:kern w:val="2"/>
                <w:sz w:val="28"/>
                <w:szCs w:val="28"/>
                <w:lang w:eastAsia="zh-CN"/>
              </w:rPr>
              <w:t>信息与数据收集采取非现场评价和现场评价等方式进行，数据处理采取科学合理的方法，对整理的资料进行数据提取、筛选及分析。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2584" w:type="dxa"/>
            <w:tcBorders>
              <w:tl2br w:val="nil"/>
              <w:tr2bl w:val="nil"/>
            </w:tcBorders>
            <w:vAlign w:val="center"/>
          </w:tcPr>
          <w:p>
            <w:pPr>
              <w:kinsoku/>
              <w:autoSpaceDE/>
              <w:autoSpaceDN/>
              <w:spacing w:line="360" w:lineRule="auto"/>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绩效评价</w:t>
            </w:r>
          </w:p>
          <w:p>
            <w:pPr>
              <w:kinsoku/>
              <w:autoSpaceDE/>
              <w:autoSpaceDN/>
              <w:spacing w:line="360" w:lineRule="auto"/>
              <w:jc w:val="center"/>
              <w:textAlignment w:val="center"/>
              <w:rPr>
                <w:rFonts w:hint="eastAsia" w:ascii="仿宋" w:hAnsi="仿宋" w:eastAsia="仿宋" w:cs="仿宋"/>
                <w:sz w:val="28"/>
                <w:szCs w:val="28"/>
                <w:highlight w:val="none"/>
                <w:lang w:eastAsia="zh-CN" w:bidi="ar"/>
              </w:rPr>
            </w:pPr>
            <w:r>
              <w:rPr>
                <w:rFonts w:hint="eastAsia" w:ascii="仿宋" w:hAnsi="仿宋" w:eastAsia="仿宋" w:cs="仿宋"/>
                <w:b/>
                <w:bCs/>
                <w:snapToGrid/>
                <w:kern w:val="2"/>
                <w:sz w:val="28"/>
                <w:szCs w:val="28"/>
                <w:highlight w:val="none"/>
                <w:lang w:eastAsia="zh-CN"/>
              </w:rPr>
              <w:t>工作过程</w:t>
            </w:r>
          </w:p>
        </w:tc>
        <w:tc>
          <w:tcPr>
            <w:tcW w:w="7439" w:type="dxa"/>
            <w:tcBorders>
              <w:tl2br w:val="nil"/>
              <w:tr2bl w:val="nil"/>
            </w:tcBorders>
            <w:vAlign w:val="center"/>
          </w:tcPr>
          <w:p>
            <w:pPr>
              <w:kinsoku/>
              <w:autoSpaceDE/>
              <w:autoSpaceDN/>
              <w:spacing w:line="360" w:lineRule="auto"/>
              <w:ind w:left="560" w:hanging="560" w:hangingChars="200"/>
              <w:jc w:val="both"/>
              <w:textAlignment w:val="center"/>
              <w:rPr>
                <w:rFonts w:hint="eastAsia" w:ascii="仿宋" w:hAnsi="仿宋" w:eastAsia="仿宋" w:cs="仿宋"/>
                <w:snapToGrid/>
                <w:kern w:val="2"/>
                <w:sz w:val="28"/>
                <w:szCs w:val="28"/>
                <w:highlight w:val="none"/>
                <w:lang w:eastAsia="zh-CN"/>
              </w:rPr>
            </w:pPr>
            <w:r>
              <w:rPr>
                <w:rFonts w:hint="eastAsia" w:ascii="仿宋" w:hAnsi="仿宋" w:eastAsia="仿宋" w:cs="仿宋"/>
                <w:snapToGrid/>
                <w:kern w:val="2"/>
                <w:sz w:val="28"/>
                <w:szCs w:val="28"/>
                <w:highlight w:val="none"/>
                <w:lang w:eastAsia="zh-CN"/>
              </w:rPr>
              <w:t xml:space="preserve">1.前期准备阶段；2.现场评价阶段；3.撰写报告阶段。 </w:t>
            </w:r>
          </w:p>
          <w:p>
            <w:pPr>
              <w:kinsoku/>
              <w:autoSpaceDE/>
              <w:autoSpaceDN/>
              <w:spacing w:line="360" w:lineRule="auto"/>
              <w:ind w:left="559" w:leftChars="266" w:firstLine="280" w:firstLineChars="100"/>
              <w:jc w:val="both"/>
              <w:textAlignment w:val="center"/>
              <w:rPr>
                <w:rFonts w:hint="eastAsia" w:ascii="仿宋" w:hAnsi="仿宋" w:eastAsia="仿宋" w:cs="仿宋"/>
                <w:sz w:val="28"/>
                <w:szCs w:val="28"/>
                <w:highlight w:val="none"/>
                <w:lang w:bidi="ar"/>
              </w:rPr>
            </w:pPr>
            <w:r>
              <w:rPr>
                <w:rFonts w:hint="eastAsia" w:ascii="仿宋" w:hAnsi="仿宋" w:eastAsia="仿宋" w:cs="仿宋"/>
                <w:snapToGrid/>
                <w:color w:val="auto"/>
                <w:kern w:val="2"/>
                <w:sz w:val="28"/>
                <w:szCs w:val="28"/>
                <w:highlight w:val="none"/>
                <w:lang w:eastAsia="zh-CN"/>
              </w:rPr>
              <w:t>（2024年9月1日—2024年9月18日）</w:t>
            </w:r>
          </w:p>
        </w:tc>
      </w:tr>
    </w:tbl>
    <w:p>
      <w:pPr>
        <w:kinsoku/>
        <w:autoSpaceDE/>
        <w:autoSpaceDN/>
        <w:jc w:val="center"/>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914400</wp:posOffset>
                </wp:positionV>
                <wp:extent cx="5274310" cy="6350"/>
                <wp:effectExtent l="0" t="0" r="0" b="0"/>
                <wp:wrapNone/>
                <wp:docPr id="3" name="任意多边形 2"/>
                <wp:cNvGraphicFramePr/>
                <a:graphic xmlns:a="http://schemas.openxmlformats.org/drawingml/2006/main">
                  <a:graphicData uri="http://schemas.microsoft.com/office/word/2010/wordprocessingShape">
                    <wps:wsp>
                      <wps:cNvSpPr/>
                      <wps:spPr>
                        <a:xfrm>
                          <a:off x="0" y="0"/>
                          <a:ext cx="5274310" cy="6350"/>
                        </a:xfrm>
                        <a:custGeom>
                          <a:avLst/>
                          <a:gdLst/>
                          <a:ahLst/>
                          <a:cxnLst/>
                          <a:rect l="0" t="0" r="0" b="0"/>
                          <a:pathLst>
                            <a:path w="8305" h="10">
                              <a:moveTo>
                                <a:pt x="0" y="9"/>
                              </a:moveTo>
                              <a:lnTo>
                                <a:pt x="8305" y="9"/>
                              </a:lnTo>
                              <a:lnTo>
                                <a:pt x="8305" y="0"/>
                              </a:lnTo>
                              <a:lnTo>
                                <a:pt x="0" y="0"/>
                              </a:lnTo>
                              <a:lnTo>
                                <a:pt x="0" y="9"/>
                              </a:lnTo>
                              <a:close/>
                            </a:path>
                          </a:pathLst>
                        </a:custGeom>
                        <a:solidFill>
                          <a:srgbClr val="000000"/>
                        </a:solidFill>
                        <a:ln>
                          <a:noFill/>
                        </a:ln>
                        <a:effectLst/>
                      </wps:spPr>
                      <wps:bodyPr wrap="square" upright="1"/>
                    </wps:wsp>
                  </a:graphicData>
                </a:graphic>
              </wp:anchor>
            </w:drawing>
          </mc:Choice>
          <mc:Fallback>
            <w:pict>
              <v:shape id="任意多边形 2" o:spid="_x0000_s1026" o:spt="100" style="position:absolute;left:0pt;margin-left:90pt;margin-top:72pt;height:0.5pt;width:415.3pt;mso-position-horizontal-relative:page;mso-position-vertical-relative:page;z-index:251661312;mso-width-relative:page;mso-height-relative:page;" fillcolor="#000000" filled="t" stroked="f" coordsize="8305,10" o:allowincell="f" o:gfxdata="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NKWx3WAAAADAEAAA8AAAAAAAAAAQAgAAAAOAAAAGRy&#10;cy9kb3ducmV2LnhtbFBLAQIUABQAAAAIAIdO4kCNe4wsKgIAALYEAAAOAAAAAAAAAAEAIAAAADsB&#10;AABkcnMvZTJvRG9jLnhtbFBLBQYAAAAABgAGAFkBAADXBQAAAAA=&#10;" path="m0,9l8305,9,8305,0,0,0,0,9xe">
                <v:fill on="t" focussize="0,0"/>
                <v:stroke on="f"/>
                <v:imagedata o:title=""/>
                <o:lock v:ext="edit" aspectratio="f"/>
              </v:shape>
            </w:pict>
          </mc:Fallback>
        </mc:AlternateContent>
      </w:r>
      <w:r>
        <w:rPr>
          <w:rFonts w:hint="eastAsia" w:ascii="仿宋" w:hAnsi="仿宋" w:eastAsia="仿宋" w:cs="仿宋"/>
          <w:b/>
          <w:bCs/>
          <w:snapToGrid/>
          <w:kern w:val="2"/>
          <w:sz w:val="28"/>
          <w:szCs w:val="28"/>
          <w:lang w:eastAsia="zh-CN"/>
        </w:rPr>
        <w:t>四、评价结论和绩效分析</w:t>
      </w:r>
    </w:p>
    <w:p>
      <w:pPr>
        <w:rPr>
          <w:rFonts w:hint="eastAsia" w:ascii="仿宋" w:hAnsi="仿宋" w:eastAsia="仿宋" w:cs="仿宋"/>
          <w:sz w:val="28"/>
          <w:szCs w:val="28"/>
          <w:lang w:eastAsia="zh-CN"/>
        </w:rPr>
      </w:pPr>
    </w:p>
    <w:tbl>
      <w:tblPr>
        <w:tblStyle w:val="11"/>
        <w:tblW w:w="9785" w:type="dxa"/>
        <w:tblInd w:w="-658"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477"/>
        <w:gridCol w:w="1293"/>
        <w:gridCol w:w="1123"/>
        <w:gridCol w:w="1246"/>
        <w:gridCol w:w="1307"/>
        <w:gridCol w:w="1077"/>
        <w:gridCol w:w="126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77"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napToGrid/>
                <w:kern w:val="2"/>
                <w:sz w:val="28"/>
                <w:szCs w:val="28"/>
                <w:lang w:eastAsia="zh-CN"/>
              </w:rPr>
              <w:t>综合评价结论</w:t>
            </w:r>
          </w:p>
        </w:tc>
        <w:tc>
          <w:tcPr>
            <w:tcW w:w="1293"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pacing w:val="-2"/>
                <w:sz w:val="28"/>
                <w:szCs w:val="28"/>
              </w:rPr>
              <w:t>评价得分</w:t>
            </w:r>
          </w:p>
        </w:tc>
        <w:tc>
          <w:tcPr>
            <w:tcW w:w="2369" w:type="dxa"/>
            <w:gridSpan w:val="2"/>
            <w:tcBorders>
              <w:tl2br w:val="nil"/>
              <w:tr2bl w:val="nil"/>
            </w:tcBorders>
            <w:vAlign w:val="center"/>
          </w:tcPr>
          <w:p>
            <w:pPr>
              <w:pStyle w:val="10"/>
              <w:jc w:val="center"/>
              <w:rPr>
                <w:rFonts w:hint="default" w:ascii="仿宋" w:hAnsi="仿宋" w:eastAsia="仿宋" w:cs="仿宋"/>
                <w:b/>
                <w:bCs/>
                <w:sz w:val="28"/>
                <w:szCs w:val="28"/>
                <w:lang w:val="en-US"/>
              </w:rPr>
            </w:pPr>
            <w:r>
              <w:rPr>
                <w:rFonts w:hint="eastAsia" w:ascii="仿宋" w:hAnsi="仿宋" w:eastAsia="仿宋" w:cs="仿宋"/>
                <w:b/>
                <w:bCs/>
                <w:sz w:val="28"/>
                <w:szCs w:val="28"/>
                <w:lang w:val="en-US" w:eastAsia="zh-CN"/>
              </w:rPr>
              <w:t>86.66</w:t>
            </w:r>
          </w:p>
        </w:tc>
        <w:tc>
          <w:tcPr>
            <w:tcW w:w="1307"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pacing w:val="-2"/>
                <w:sz w:val="28"/>
                <w:szCs w:val="28"/>
              </w:rPr>
              <w:t>评价等级</w:t>
            </w:r>
          </w:p>
        </w:tc>
        <w:tc>
          <w:tcPr>
            <w:tcW w:w="2339" w:type="dxa"/>
            <w:gridSpan w:val="2"/>
            <w:tcBorders>
              <w:tl2br w:val="nil"/>
              <w:tr2bl w:val="nil"/>
            </w:tcBorders>
            <w:vAlign w:val="center"/>
          </w:tcPr>
          <w:p>
            <w:pPr>
              <w:pStyle w:val="10"/>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良</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477" w:type="dxa"/>
            <w:vMerge w:val="restart"/>
            <w:tcBorders>
              <w:tl2br w:val="nil"/>
              <w:tr2bl w:val="nil"/>
            </w:tcBorders>
          </w:tcPr>
          <w:p>
            <w:pPr>
              <w:rPr>
                <w:rFonts w:hint="eastAsia" w:ascii="仿宋" w:hAnsi="仿宋" w:eastAsia="仿宋" w:cs="仿宋"/>
                <w:b/>
                <w:bCs/>
                <w:sz w:val="28"/>
                <w:szCs w:val="28"/>
              </w:rPr>
            </w:pPr>
          </w:p>
          <w:p>
            <w:pPr>
              <w:pStyle w:val="10"/>
              <w:spacing w:line="360" w:lineRule="auto"/>
              <w:jc w:val="center"/>
              <w:rPr>
                <w:rFonts w:hint="eastAsia" w:ascii="仿宋" w:hAnsi="仿宋" w:eastAsia="仿宋" w:cs="仿宋"/>
                <w:b/>
                <w:bCs/>
                <w:sz w:val="28"/>
                <w:szCs w:val="28"/>
              </w:rPr>
            </w:pPr>
            <w:r>
              <w:rPr>
                <w:rFonts w:hint="eastAsia" w:ascii="仿宋" w:hAnsi="仿宋" w:eastAsia="仿宋" w:cs="仿宋"/>
                <w:b/>
                <w:bCs/>
                <w:spacing w:val="-3"/>
                <w:sz w:val="28"/>
                <w:szCs w:val="28"/>
                <w:lang w:eastAsia="zh-CN"/>
              </w:rPr>
              <w:t>绩效</w:t>
            </w:r>
            <w:r>
              <w:rPr>
                <w:rFonts w:hint="eastAsia" w:ascii="仿宋" w:hAnsi="仿宋" w:eastAsia="仿宋" w:cs="仿宋"/>
                <w:b/>
                <w:bCs/>
                <w:spacing w:val="-3"/>
                <w:sz w:val="28"/>
                <w:szCs w:val="28"/>
              </w:rPr>
              <w:t>分析</w:t>
            </w:r>
          </w:p>
        </w:tc>
        <w:tc>
          <w:tcPr>
            <w:tcW w:w="1293" w:type="dxa"/>
            <w:tcBorders>
              <w:tl2br w:val="nil"/>
              <w:tr2bl w:val="nil"/>
            </w:tcBorders>
            <w:vAlign w:val="center"/>
          </w:tcPr>
          <w:p>
            <w:pPr>
              <w:pStyle w:val="10"/>
              <w:ind w:firstLine="275" w:firstLineChars="100"/>
              <w:jc w:val="both"/>
              <w:rPr>
                <w:rFonts w:hint="eastAsia" w:ascii="仿宋" w:hAnsi="仿宋" w:eastAsia="仿宋" w:cs="仿宋"/>
                <w:b/>
                <w:bCs/>
                <w:sz w:val="28"/>
                <w:szCs w:val="28"/>
              </w:rPr>
            </w:pPr>
            <w:r>
              <w:rPr>
                <w:rFonts w:hint="eastAsia" w:ascii="仿宋" w:hAnsi="仿宋" w:eastAsia="仿宋" w:cs="仿宋"/>
                <w:b/>
                <w:bCs/>
                <w:spacing w:val="-3"/>
                <w:sz w:val="28"/>
                <w:szCs w:val="28"/>
              </w:rPr>
              <w:t>指标</w:t>
            </w:r>
          </w:p>
        </w:tc>
        <w:tc>
          <w:tcPr>
            <w:tcW w:w="1123"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z w:val="28"/>
                <w:szCs w:val="28"/>
              </w:rPr>
              <w:t>决策</w:t>
            </w:r>
          </w:p>
        </w:tc>
        <w:tc>
          <w:tcPr>
            <w:tcW w:w="1246"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z w:val="28"/>
                <w:szCs w:val="28"/>
              </w:rPr>
              <w:t>过程</w:t>
            </w:r>
          </w:p>
        </w:tc>
        <w:tc>
          <w:tcPr>
            <w:tcW w:w="1307"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z w:val="28"/>
                <w:szCs w:val="28"/>
              </w:rPr>
              <w:t>产出</w:t>
            </w:r>
          </w:p>
        </w:tc>
        <w:tc>
          <w:tcPr>
            <w:tcW w:w="1077"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z w:val="28"/>
                <w:szCs w:val="28"/>
              </w:rPr>
              <w:t>效益</w:t>
            </w:r>
          </w:p>
        </w:tc>
        <w:tc>
          <w:tcPr>
            <w:tcW w:w="1262"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z w:val="28"/>
                <w:szCs w:val="28"/>
              </w:rPr>
              <w:t>合计</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77" w:type="dxa"/>
            <w:vMerge w:val="continue"/>
            <w:tcBorders>
              <w:tl2br w:val="nil"/>
              <w:tr2bl w:val="nil"/>
            </w:tcBorders>
            <w:vAlign w:val="center"/>
          </w:tcPr>
          <w:p>
            <w:pPr>
              <w:jc w:val="center"/>
              <w:rPr>
                <w:rFonts w:hint="eastAsia" w:ascii="仿宋" w:hAnsi="仿宋" w:eastAsia="仿宋" w:cs="仿宋"/>
                <w:b/>
                <w:bCs/>
                <w:sz w:val="28"/>
                <w:szCs w:val="28"/>
              </w:rPr>
            </w:pPr>
          </w:p>
        </w:tc>
        <w:tc>
          <w:tcPr>
            <w:tcW w:w="1293" w:type="dxa"/>
            <w:tcBorders>
              <w:tl2br w:val="nil"/>
              <w:tr2bl w:val="nil"/>
            </w:tcBorders>
            <w:vAlign w:val="center"/>
          </w:tcPr>
          <w:p>
            <w:pPr>
              <w:pStyle w:val="10"/>
              <w:jc w:val="center"/>
              <w:rPr>
                <w:rFonts w:hint="eastAsia" w:ascii="仿宋" w:hAnsi="仿宋" w:eastAsia="仿宋" w:cs="仿宋"/>
                <w:b/>
                <w:bCs/>
                <w:sz w:val="28"/>
                <w:szCs w:val="28"/>
              </w:rPr>
            </w:pPr>
            <w:r>
              <w:rPr>
                <w:rFonts w:hint="eastAsia" w:ascii="仿宋" w:hAnsi="仿宋" w:eastAsia="仿宋" w:cs="仿宋"/>
                <w:b/>
                <w:bCs/>
                <w:spacing w:val="-3"/>
                <w:sz w:val="28"/>
                <w:szCs w:val="28"/>
                <w:lang w:eastAsia="zh-CN"/>
              </w:rPr>
              <w:t>得分率</w:t>
            </w:r>
          </w:p>
        </w:tc>
        <w:tc>
          <w:tcPr>
            <w:tcW w:w="1123" w:type="dxa"/>
            <w:tcBorders>
              <w:tl2br w:val="nil"/>
              <w:tr2bl w:val="nil"/>
            </w:tcBorders>
            <w:vAlign w:val="center"/>
          </w:tcPr>
          <w:p>
            <w:pPr>
              <w:pStyle w:val="10"/>
              <w:jc w:val="center"/>
              <w:rPr>
                <w:rFonts w:hint="eastAsia" w:ascii="仿宋" w:hAnsi="仿宋" w:eastAsia="仿宋" w:cs="仿宋"/>
                <w:b/>
                <w:color w:val="auto"/>
                <w:kern w:val="2"/>
                <w:sz w:val="28"/>
                <w:szCs w:val="28"/>
                <w:lang w:eastAsia="zh-CN"/>
              </w:rPr>
            </w:pPr>
            <w:r>
              <w:rPr>
                <w:rFonts w:hint="eastAsia" w:ascii="仿宋" w:hAnsi="仿宋" w:eastAsia="仿宋" w:cs="仿宋"/>
                <w:b/>
                <w:color w:val="auto"/>
                <w:kern w:val="2"/>
                <w:sz w:val="28"/>
                <w:szCs w:val="28"/>
                <w:lang w:val="en-US" w:eastAsia="zh-CN"/>
              </w:rPr>
              <w:t>82.14%</w:t>
            </w:r>
          </w:p>
        </w:tc>
        <w:tc>
          <w:tcPr>
            <w:tcW w:w="1246" w:type="dxa"/>
            <w:tcBorders>
              <w:tl2br w:val="nil"/>
              <w:tr2bl w:val="nil"/>
            </w:tcBorders>
            <w:vAlign w:val="center"/>
          </w:tcPr>
          <w:p>
            <w:pPr>
              <w:pStyle w:val="10"/>
              <w:jc w:val="center"/>
              <w:rPr>
                <w:rFonts w:hint="eastAsia" w:ascii="仿宋" w:hAnsi="仿宋" w:eastAsia="仿宋" w:cs="仿宋"/>
                <w:b/>
                <w:color w:val="auto"/>
                <w:kern w:val="2"/>
                <w:sz w:val="28"/>
                <w:szCs w:val="28"/>
                <w:lang w:eastAsia="zh-CN"/>
              </w:rPr>
            </w:pPr>
            <w:r>
              <w:rPr>
                <w:rFonts w:hint="eastAsia" w:ascii="仿宋" w:hAnsi="仿宋" w:eastAsia="仿宋" w:cs="仿宋"/>
                <w:b/>
                <w:color w:val="auto"/>
                <w:kern w:val="2"/>
                <w:sz w:val="28"/>
                <w:szCs w:val="28"/>
                <w:lang w:val="en-US" w:eastAsia="zh-CN"/>
              </w:rPr>
              <w:t>77.54%</w:t>
            </w:r>
          </w:p>
        </w:tc>
        <w:tc>
          <w:tcPr>
            <w:tcW w:w="1307" w:type="dxa"/>
            <w:tcBorders>
              <w:tl2br w:val="nil"/>
              <w:tr2bl w:val="nil"/>
            </w:tcBorders>
            <w:vAlign w:val="center"/>
          </w:tcPr>
          <w:p>
            <w:pPr>
              <w:pStyle w:val="10"/>
              <w:jc w:val="center"/>
              <w:rPr>
                <w:rFonts w:hint="eastAsia" w:ascii="仿宋" w:hAnsi="仿宋" w:eastAsia="仿宋" w:cs="仿宋"/>
                <w:b/>
                <w:color w:val="auto"/>
                <w:kern w:val="2"/>
                <w:sz w:val="28"/>
                <w:szCs w:val="28"/>
                <w:lang w:eastAsia="zh-CN"/>
              </w:rPr>
            </w:pPr>
            <w:r>
              <w:rPr>
                <w:rFonts w:hint="eastAsia" w:ascii="仿宋" w:hAnsi="仿宋" w:eastAsia="仿宋" w:cs="仿宋"/>
                <w:b/>
                <w:color w:val="auto"/>
                <w:kern w:val="2"/>
                <w:sz w:val="28"/>
                <w:szCs w:val="28"/>
                <w:lang w:val="en-US" w:eastAsia="zh-CN"/>
              </w:rPr>
              <w:t>86.21%</w:t>
            </w:r>
          </w:p>
        </w:tc>
        <w:tc>
          <w:tcPr>
            <w:tcW w:w="1077" w:type="dxa"/>
            <w:tcBorders>
              <w:tl2br w:val="nil"/>
              <w:tr2bl w:val="nil"/>
            </w:tcBorders>
            <w:vAlign w:val="center"/>
          </w:tcPr>
          <w:p>
            <w:pPr>
              <w:pStyle w:val="10"/>
              <w:jc w:val="center"/>
              <w:rPr>
                <w:rFonts w:hint="eastAsia" w:ascii="仿宋" w:hAnsi="仿宋" w:eastAsia="仿宋" w:cs="仿宋"/>
                <w:b/>
                <w:color w:val="auto"/>
                <w:kern w:val="2"/>
                <w:sz w:val="28"/>
                <w:szCs w:val="28"/>
                <w:lang w:eastAsia="zh-CN"/>
              </w:rPr>
            </w:pPr>
            <w:r>
              <w:rPr>
                <w:rFonts w:hint="eastAsia" w:ascii="仿宋" w:hAnsi="仿宋" w:eastAsia="仿宋" w:cs="仿宋"/>
                <w:b/>
                <w:color w:val="auto"/>
                <w:kern w:val="2"/>
                <w:sz w:val="28"/>
                <w:szCs w:val="28"/>
                <w:lang w:val="en-US" w:eastAsia="zh-CN"/>
              </w:rPr>
              <w:t>100%</w:t>
            </w:r>
          </w:p>
        </w:tc>
        <w:tc>
          <w:tcPr>
            <w:tcW w:w="1262" w:type="dxa"/>
            <w:tcBorders>
              <w:tl2br w:val="nil"/>
              <w:tr2bl w:val="nil"/>
            </w:tcBorders>
            <w:vAlign w:val="center"/>
          </w:tcPr>
          <w:p>
            <w:pPr>
              <w:pStyle w:val="10"/>
              <w:jc w:val="center"/>
              <w:rPr>
                <w:rFonts w:hint="eastAsia" w:ascii="仿宋" w:hAnsi="仿宋" w:eastAsia="仿宋" w:cs="仿宋"/>
                <w:b/>
                <w:bCs/>
                <w:sz w:val="28"/>
                <w:szCs w:val="28"/>
                <w:lang w:eastAsia="zh-CN"/>
              </w:rPr>
            </w:pPr>
            <w:r>
              <w:rPr>
                <w:rFonts w:hint="eastAsia" w:ascii="仿宋" w:hAnsi="仿宋" w:eastAsia="仿宋" w:cs="仿宋"/>
                <w:b/>
                <w:bCs w:val="0"/>
                <w:color w:val="auto"/>
                <w:kern w:val="2"/>
                <w:sz w:val="28"/>
                <w:szCs w:val="28"/>
                <w:highlight w:val="none"/>
                <w:lang w:val="en-US" w:eastAsia="zh-CN" w:bidi="ar-SA"/>
              </w:rPr>
              <w:t>86.66%</w:t>
            </w:r>
          </w:p>
        </w:tc>
      </w:tr>
    </w:tbl>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sz w:val="28"/>
          <w:szCs w:val="28"/>
        </w:rPr>
        <w:sectPr>
          <w:footerReference r:id="rId3" w:type="default"/>
          <w:pgSz w:w="11907" w:h="16839"/>
          <w:pgMar w:top="1440" w:right="1803" w:bottom="1440" w:left="1803" w:header="0" w:footer="974" w:gutter="0"/>
          <w:cols w:space="720" w:num="1"/>
        </w:sectPr>
      </w:pPr>
      <w:r>
        <w:rPr>
          <w:rFonts w:hint="eastAsia" w:ascii="仿宋" w:hAnsi="仿宋" w:eastAsia="仿宋" w:cs="仿宋"/>
          <w:b/>
          <w:bCs/>
          <w:snapToGrid/>
          <w:kern w:val="2"/>
          <w:sz w:val="28"/>
          <w:szCs w:val="28"/>
          <w:lang w:eastAsia="zh-CN"/>
        </w:rPr>
        <w:t>五、存在问题</w:t>
      </w:r>
    </w:p>
    <w:p>
      <w:pPr>
        <w:rPr>
          <w:rFonts w:hint="eastAsia" w:ascii="仿宋" w:hAnsi="仿宋" w:eastAsia="仿宋" w:cs="仿宋"/>
          <w:sz w:val="28"/>
          <w:szCs w:val="28"/>
        </w:rPr>
      </w:pPr>
    </w:p>
    <w:tbl>
      <w:tblPr>
        <w:tblStyle w:val="11"/>
        <w:tblW w:w="10088" w:type="dxa"/>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10088"/>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10088"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仿宋" w:hAnsi="仿宋" w:eastAsia="仿宋" w:cs="仿宋"/>
                <w:b/>
                <w:bCs/>
                <w:color w:val="0070C0"/>
                <w:sz w:val="32"/>
                <w:szCs w:val="32"/>
                <w:lang w:val="en-US" w:eastAsia="zh-CN"/>
              </w:rPr>
            </w:pPr>
            <w:bookmarkStart w:id="0" w:name="_Toc16301"/>
            <w:bookmarkStart w:id="1" w:name="_Toc24588"/>
            <w:bookmarkStart w:id="2" w:name="_Toc26001"/>
            <w:bookmarkStart w:id="3" w:name="_Toc7676"/>
            <w:bookmarkStart w:id="4" w:name="_Toc22007"/>
            <w:r>
              <w:rPr>
                <w:rFonts w:hint="eastAsia" w:ascii="仿宋" w:hAnsi="仿宋" w:eastAsia="仿宋" w:cs="仿宋"/>
                <w:b/>
                <w:bCs/>
                <w:sz w:val="32"/>
                <w:szCs w:val="32"/>
                <w:lang w:val="en-US" w:eastAsia="zh-CN"/>
              </w:rPr>
              <w:t>（一）绩效目标设置不合理</w:t>
            </w:r>
            <w:bookmarkEnd w:id="0"/>
            <w:bookmarkEnd w:id="1"/>
            <w:bookmarkEnd w:id="2"/>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经绩效评价组实地核查，山丹县民政局已按照《项目支出绩效评价管理办法的通知》（财预〔2020〕10号）及甘肃省财政厅印发的《甘肃省省级预算绩效管理办法》（甘财绩〔2020〕5号）文件要求，已填报项目绩效目标申报表，但项目所填报绩效目标与实际工作内容不具有相关性，同时未体现出项目预期产出效益和效果，该项目实施的目标是2023年为全面推进养老服务体系建设，促进养老服务业高质量发展，有效满足老年人多样化、多层次养老服务需求，在城区建设两个高标准的乡镇综合养老服务中心和5个互助幸福院，所以绩效目标表中年度绩效目标应以此为标准开展，同时阐述该项目的实施预期的产出效益和效果。</w:t>
            </w:r>
          </w:p>
          <w:bookmarkEnd w:id="3"/>
          <w:bookmarkEnd w:id="4"/>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sz w:val="32"/>
                <w:szCs w:val="32"/>
                <w:lang w:val="en-US" w:eastAsia="zh-CN"/>
              </w:rPr>
            </w:pPr>
            <w:bookmarkStart w:id="5" w:name="_Toc30573"/>
            <w:bookmarkStart w:id="6" w:name="_Toc22759"/>
            <w:bookmarkStart w:id="7" w:name="_Toc32204"/>
            <w:bookmarkStart w:id="8" w:name="_Toc26558"/>
            <w:bookmarkStart w:id="9" w:name="_Toc14063"/>
            <w:r>
              <w:rPr>
                <w:rFonts w:hint="eastAsia" w:ascii="仿宋" w:hAnsi="仿宋" w:eastAsia="仿宋" w:cs="仿宋"/>
                <w:b/>
                <w:bCs/>
                <w:sz w:val="32"/>
                <w:szCs w:val="32"/>
                <w:lang w:val="en-US" w:eastAsia="zh-CN"/>
              </w:rPr>
              <w:t>（二）绩效指标设置不</w:t>
            </w:r>
            <w:r>
              <w:rPr>
                <w:rFonts w:hint="eastAsia" w:ascii="仿宋" w:hAnsi="仿宋" w:eastAsia="仿宋" w:cs="仿宋"/>
                <w:b/>
                <w:bCs/>
                <w:color w:val="auto"/>
                <w:sz w:val="32"/>
                <w:szCs w:val="32"/>
                <w:lang w:val="en-US" w:eastAsia="zh-CN"/>
              </w:rPr>
              <w:t>够明确、</w:t>
            </w:r>
            <w:r>
              <w:rPr>
                <w:rFonts w:hint="eastAsia" w:ascii="仿宋" w:hAnsi="仿宋" w:eastAsia="仿宋" w:cs="仿宋"/>
                <w:b/>
                <w:bCs/>
                <w:sz w:val="32"/>
                <w:szCs w:val="32"/>
                <w:lang w:val="en-US" w:eastAsia="zh-CN"/>
              </w:rPr>
              <w:t>细化</w:t>
            </w:r>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绩效评价组依据被评价单位提供的项目绩效目标申报表资料反馈，绩效目标表中将项目绩效目标分解为3个一级指标、7个二级指标和7个三级指标，但存在指标设置不够明确、细化的情况：①产出指标下未设置成本指标；②数量、质量、时效、经济效益指标设置不够明确、细化，数量指标未体现出综合养老服务中心、互助幸福院数量建设情况及设备购置情况应设置；质量指标应设置工程质量及设备购置合格情况；时效指标应设置完工及时性、设备购置及时性等指标；经济效益指标值指的是通过项目实施、资金使用发挥了哪些经济效益，该项指标设置不合理。</w:t>
            </w:r>
          </w:p>
          <w:p>
            <w:pPr>
              <w:pStyle w:val="3"/>
              <w:keepNext w:val="0"/>
              <w:keepLines w:val="0"/>
              <w:pageBreakBefore w:val="0"/>
              <w:kinsoku/>
              <w:wordWrap/>
              <w:overflowPunct/>
              <w:topLinePunct w:val="0"/>
              <w:autoSpaceDE/>
              <w:autoSpaceDN/>
              <w:bidi w:val="0"/>
              <w:adjustRightInd w:val="0"/>
              <w:snapToGrid w:val="0"/>
              <w:spacing w:line="560" w:lineRule="exact"/>
              <w:ind w:firstLine="562"/>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（三）内控机制不健全</w:t>
            </w:r>
            <w:bookmarkEnd w:id="8"/>
          </w:p>
          <w:bookmarkEnd w:id="9"/>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Cs/>
                <w:snapToGrid/>
                <w:kern w:val="2"/>
                <w:sz w:val="28"/>
                <w:szCs w:val="28"/>
                <w:highlight w:val="none"/>
                <w:lang w:val="en-US" w:eastAsia="zh-CN"/>
              </w:rPr>
            </w:pPr>
            <w:bookmarkStart w:id="10" w:name="_Toc21208"/>
            <w:r>
              <w:rPr>
                <w:rFonts w:hint="eastAsia" w:ascii="仿宋" w:hAnsi="仿宋" w:eastAsia="仿宋" w:cs="仿宋"/>
                <w:bCs/>
                <w:snapToGrid/>
                <w:kern w:val="2"/>
                <w:sz w:val="28"/>
                <w:szCs w:val="28"/>
                <w:highlight w:val="none"/>
                <w:lang w:val="en-US" w:eastAsia="zh-CN"/>
              </w:rPr>
              <w:t>经核查相关资料，山丹县2023年度省政府为民办实事建设配套资金项目合同签订签约双方与中标通知书相符；合同的执行严格按照约定执行，无合同纠纷；合同内容标的物价格、履约内容、资金支付时间、支付方式、交付时间、验收标准及双方权利义务和具体风险责任与措施等内容完整。但存在合同内容签约时间、付款方式、双方权利及义务等签约不明确等问题，如：山丹县民政局与甘肃安博思消防技术服务有限公司签订的消费检测合同中，签约时间、付款方式、双方权利及义务等内容约定不明确；与甘肃中恒达工程项目管理咨询有限公司签订的合同中，未明确签约时间。</w:t>
            </w:r>
          </w:p>
          <w:bookmarkEnd w:id="10"/>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sz w:val="32"/>
                <w:szCs w:val="32"/>
                <w:lang w:val="en-US" w:eastAsia="zh-CN"/>
              </w:rPr>
            </w:pPr>
            <w:bookmarkStart w:id="11" w:name="_Toc28106"/>
            <w:bookmarkStart w:id="12" w:name="_Toc21743"/>
            <w:bookmarkStart w:id="13" w:name="_Toc25641"/>
            <w:bookmarkStart w:id="14" w:name="_Toc25116"/>
            <w:r>
              <w:rPr>
                <w:rFonts w:hint="eastAsia" w:ascii="仿宋" w:hAnsi="仿宋" w:eastAsia="仿宋" w:cs="仿宋"/>
                <w:b/>
                <w:bCs/>
                <w:sz w:val="32"/>
                <w:szCs w:val="32"/>
                <w:lang w:val="en-US" w:eastAsia="zh-CN"/>
              </w:rPr>
              <w:t>（四）项目监管不到位</w:t>
            </w:r>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经核查项目相关资料，根据《甘肃省人民政府办公厅关于印发10件为民办实事方案的通知》（甘政办发〔2023〕20号）、《山丹县人民政府办公室关于印发落实2023年省委省政府为民办实事实施方案的通知》（山政办发〔2023〕11号）文件要求，县民政局会同相关部门定期组织开展检查，履行主体责任，加强组织领导，推动工作落实，协调解决问题，确保项目建设顺利实施，但山丹县民政局对各乡镇互助幸院的建设未开展监督检查工作。</w:t>
            </w:r>
          </w:p>
          <w:bookmarkEnd w:id="14"/>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sz w:val="32"/>
                <w:szCs w:val="32"/>
                <w:lang w:val="en-US" w:eastAsia="zh-CN"/>
              </w:rPr>
            </w:pPr>
            <w:bookmarkStart w:id="15" w:name="_Toc1413"/>
            <w:bookmarkStart w:id="16" w:name="_Toc22375"/>
            <w:r>
              <w:rPr>
                <w:rFonts w:hint="eastAsia" w:ascii="仿宋" w:hAnsi="仿宋" w:eastAsia="仿宋" w:cs="仿宋"/>
                <w:b/>
                <w:bCs/>
                <w:sz w:val="32"/>
                <w:szCs w:val="32"/>
                <w:lang w:val="en-US" w:eastAsia="zh-CN"/>
              </w:rPr>
              <w:t>（五）全过程预算绩效管理不规范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 xml:space="preserve">经查阅项目绩效管理资料，山丹县民政局对2023年度省政府为民办实事项目开展了绩效运行监控及绩效自评工作，并出具了绩效运行监控表、绩效自评表及绩效自评报告。但绩效运行监控表、绩效自评表结果不符合实际，存在内容填报有误的情况。绩效运行监控表及绩效自评表中2023年全年执行数、预算执行率填报错误，绩效监控表中2023年度全年执行数为1,489,961.93万元，预算执行率为82.78%，而该项目截至2023年12月31日实际支出资金335,000.00万元，全年执行数应为335,000.00万元，预算执行率应为18.61%；绩效自评报告相关数据不齐全，报告中项目资金使用情况未详细分析资金下达情况、资金使用情况；绩效目标完成情况及效益情况未展开分析。 </w:t>
            </w:r>
          </w:p>
          <w:bookmarkEnd w:id="15"/>
          <w:bookmarkEnd w:id="16"/>
          <w:p>
            <w:pPr>
              <w:keepNext w:val="0"/>
              <w:keepLines w:val="0"/>
              <w:pageBreakBefore w:val="0"/>
              <w:wordWrap/>
              <w:overflowPunct/>
              <w:topLinePunct w:val="0"/>
              <w:bidi w:val="0"/>
              <w:adjustRightInd w:val="0"/>
              <w:snapToGrid w:val="0"/>
              <w:spacing w:line="560" w:lineRule="exact"/>
              <w:ind w:firstLine="642" w:firstLineChars="2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（六）项目实施进度滞后</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绩效评价组通过核查被评价单位提供的建设工程施工合同、项目验收等资料，山丹县2023年度省政府为民办实事建设配套资金项目存在开工不及时的情况。根据《甘肃省人民政府办公厅关于印发100件为民办实事方案的通知》（甘政办发〔2023〕20号、《山丹县人民政府办公室关于印发落实2023年省委省政府为民办事实方案的通知》（山政办发〔2023〕11号）文件对项目实施时间的要求，文件要求综合养老服务中心建设项目实施阶段为2023年3月16日—2023年9月30日、评估验收阶段10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根据资料显示，霍城镇仁和综合养老服务中心实际于2023年9月21日开工、老军乡丹城综合养老服务中心实际于2023年9月27日开工，开工时间较晚；2个综合养老服务中心完工时间均在10月份，不符合文件要求的时间；根据验收报告，霍城镇综合养老服务中心、老君乡丹城综合养老服务中心均于2023年12月24日完成验收，不符合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bCs/>
                <w:snapToGrid/>
                <w:kern w:val="2"/>
                <w:sz w:val="28"/>
                <w:szCs w:val="28"/>
                <w:lang w:val="en-US" w:eastAsia="zh-CN"/>
              </w:rPr>
              <w:t>村级互助幸福院建设项目实施阶段为2023年3月16日—2023年7月30日、项目评估验收阶段8—9月。根据施工资料显示，位齐镇互助幸福院建设项目张掖市公共资源交易平台上通过邀请招标的方式进行了项目招投标，该项目于11月9日发布了成交公示，项目实际开工时间为2023年11月13日，开工时间较晚；李桥乡互助幸福院建设项目于2023年9月22日签订施工合同，合同工期60天，开工时间为2023年9月23日，竣工时间为2023年11月22日，时间节点均不符合相关文件及实施方案要求。</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471" w:hRule="atLeast"/>
          <w:jc w:val="center"/>
        </w:trPr>
        <w:tc>
          <w:tcPr>
            <w:tcW w:w="10088" w:type="dxa"/>
            <w:tcBorders>
              <w:tl2br w:val="nil"/>
              <w:tr2bl w:val="nil"/>
            </w:tcBorders>
            <w:vAlign w:val="center"/>
          </w:tcPr>
          <w:p>
            <w:pPr>
              <w:spacing w:line="360" w:lineRule="auto"/>
              <w:jc w:val="both"/>
              <w:rPr>
                <w:rFonts w:hint="eastAsia" w:ascii="仿宋" w:hAnsi="仿宋" w:eastAsia="仿宋" w:cs="仿宋"/>
                <w:b/>
                <w:bCs/>
                <w:snapToGrid/>
                <w:kern w:val="2"/>
                <w:sz w:val="28"/>
                <w:szCs w:val="28"/>
                <w:lang w:eastAsia="zh-CN"/>
              </w:rPr>
            </w:pPr>
          </w:p>
          <w:p>
            <w:pPr>
              <w:spacing w:line="360" w:lineRule="auto"/>
              <w:jc w:val="center"/>
              <w:rPr>
                <w:rFonts w:hint="eastAsia" w:ascii="仿宋" w:hAnsi="仿宋" w:eastAsia="仿宋" w:cs="仿宋"/>
                <w:sz w:val="28"/>
                <w:szCs w:val="28"/>
              </w:rPr>
            </w:pPr>
            <w:r>
              <w:rPr>
                <w:rFonts w:hint="eastAsia" w:ascii="仿宋" w:hAnsi="仿宋" w:eastAsia="仿宋" w:cs="仿宋"/>
                <w:b/>
                <w:bCs/>
                <w:snapToGrid/>
                <w:kern w:val="2"/>
                <w:sz w:val="28"/>
                <w:szCs w:val="28"/>
              </w:rPr>
              <w:t>六、有关对策建议</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10088" w:type="dxa"/>
            <w:tcBorders>
              <w:tl2br w:val="nil"/>
              <w:tr2bl w:val="nil"/>
            </w:tcBorders>
          </w:tcPr>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color w:val="auto"/>
                <w:sz w:val="32"/>
                <w:szCs w:val="32"/>
                <w:lang w:val="en-US" w:eastAsia="zh-CN"/>
              </w:rPr>
            </w:pPr>
            <w:bookmarkStart w:id="17" w:name="_Toc6707"/>
            <w:bookmarkStart w:id="18" w:name="_Toc28247"/>
            <w:bookmarkStart w:id="19" w:name="_Toc3965"/>
            <w:bookmarkStart w:id="20" w:name="_Toc22818"/>
            <w:bookmarkStart w:id="21" w:name="_Toc29025"/>
            <w:bookmarkStart w:id="22" w:name="_Toc15376"/>
            <w:r>
              <w:rPr>
                <w:rFonts w:hint="eastAsia" w:ascii="仿宋" w:hAnsi="仿宋" w:eastAsia="仿宋" w:cs="仿宋"/>
                <w:b/>
                <w:bCs/>
                <w:color w:val="auto"/>
                <w:sz w:val="32"/>
                <w:szCs w:val="32"/>
                <w:lang w:val="en-US" w:eastAsia="zh-CN"/>
              </w:rPr>
              <w:t>（一）规范绩效管理过程，准确设置绩效目标及指标</w:t>
            </w:r>
            <w:bookmarkEnd w:id="17"/>
            <w:bookmarkEnd w:id="18"/>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建议山丹县民政局按照《中共甘肃省委 甘肃省人民政府关于实施预算绩效管理的实施意见》（甘发〔2018〕32号）《甘肃省财政厅印发〈甘肃省省级预算绩效管理办法〉》（甘财绩〔2020〕5号）等文件要求，绩效目标是充分反映预算资金的预期产出和效果等情况的总体描述，并相应细化、量化为绩效指标。绩效指标主要包括产出指标、效益指标和满意度指标等。绩效目标的设定应当符合：①指向明确。体现党中央、国务院和省委、省政府决策部署，符合国民经济和社会发展规划、部门职能及事业发展规划等要求，并与相应的预算支出内容、范围、方向、效果等紧密相关。②细化量化。从数量、质量、时效、成本以及经济效益、社会效益、生态效益、可持续影响、满意度等方面进行细化，尽量进行定量表述。不能以量化形式表述的，可采用定性表述，但表述应可比较、可评定。③合理可行。经过调查研究和科学论证，符合客观实际，能够在一定期限内如期实现，避免目标设立过高或过低，在可实现的条件下应当确定相对较高的绩效目标。④相应匹配。与计划期内的任务数或计划数相对应与预算确定的投资额或资金量相匹配。加强预算绩效管理工作，按照“谁申请资金、谁设定目标”的原则，绩效目标细化分解为产出、成本、效益、可持续影响和服务对象满意度等绩效指标，指标值尽量进行定量表述，不能以量化形式表述的，可采用定性表述，但表述应可比较、可评定，做到清晰、明确、细化、可衡量，以便衡量和考核项目实施效果。</w:t>
            </w:r>
          </w:p>
          <w:bookmarkEnd w:id="20"/>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sz w:val="32"/>
                <w:szCs w:val="32"/>
                <w:lang w:val="en-US" w:eastAsia="zh-CN"/>
              </w:rPr>
            </w:pPr>
            <w:bookmarkStart w:id="23" w:name="_Toc20574"/>
            <w:bookmarkStart w:id="24" w:name="_Toc22003"/>
            <w:bookmarkStart w:id="25" w:name="_Toc23259"/>
            <w:bookmarkStart w:id="26" w:name="_Toc20804"/>
            <w:bookmarkStart w:id="27" w:name="_Toc12238"/>
            <w:bookmarkStart w:id="28" w:name="_Toc19220"/>
            <w:bookmarkStart w:id="29" w:name="_Toc15685"/>
            <w:bookmarkStart w:id="30" w:name="_Toc930"/>
            <w:bookmarkStart w:id="31" w:name="_Toc7813"/>
            <w:r>
              <w:rPr>
                <w:rFonts w:hint="eastAsia" w:ascii="仿宋" w:hAnsi="仿宋" w:eastAsia="仿宋" w:cs="仿宋"/>
                <w:b/>
                <w:bCs/>
                <w:sz w:val="32"/>
                <w:szCs w:val="32"/>
                <w:lang w:val="en-US" w:eastAsia="zh-CN"/>
              </w:rPr>
              <w:t>（二）完善制度建设，强化履约监督</w:t>
            </w:r>
            <w:bookmarkEnd w:id="23"/>
            <w:bookmarkEnd w:id="24"/>
            <w:bookmarkEnd w:id="25"/>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建议山丹县民政局建立健全合同管理制度，严格按照制度进行合同的签署工作，确保合同管理的各个环节都有明确的制度依据，加强合同履约过程中的监督管理，确保合同按照约定履约，及时发现和解决履约过程中的问题，及时整改。</w:t>
            </w:r>
          </w:p>
          <w:bookmarkEnd w:id="21"/>
          <w:bookmarkEnd w:id="22"/>
          <w:bookmarkEnd w:id="26"/>
          <w:bookmarkEnd w:id="27"/>
          <w:bookmarkEnd w:id="28"/>
          <w:bookmarkEnd w:id="29"/>
          <w:bookmarkEnd w:id="30"/>
          <w:bookmarkEnd w:id="31"/>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sz w:val="32"/>
                <w:szCs w:val="32"/>
                <w:lang w:val="en-US" w:eastAsia="zh-CN"/>
              </w:rPr>
            </w:pPr>
            <w:bookmarkStart w:id="32" w:name="_Toc16659"/>
            <w:bookmarkStart w:id="33" w:name="_Toc10301"/>
            <w:bookmarkStart w:id="34" w:name="_Toc23681"/>
            <w:bookmarkStart w:id="35" w:name="_Toc18662"/>
            <w:r>
              <w:rPr>
                <w:rFonts w:hint="eastAsia" w:ascii="仿宋" w:hAnsi="仿宋" w:eastAsia="仿宋" w:cs="仿宋"/>
                <w:b/>
                <w:bCs/>
                <w:sz w:val="32"/>
                <w:szCs w:val="32"/>
                <w:lang w:val="en-US" w:eastAsia="zh-CN"/>
              </w:rPr>
              <w:t>（三）建立监督机制，明确监督责任</w:t>
            </w:r>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建议山丹县民政局按照《甘肃省人民政府办公厅关于印发100件为民办实事方案的通知》（甘政办发〔2023〕20号、《山丹县人民政府办公室关于印发落实2023年省委省政府为民办事实方案的通知》（山政办发〔2023〕11号文件要求，定期对项目的实施开展监督检查，现场跟踪指导，履行主体责任，加强组织领导，推动工作落实，确保项目建设顺利实施，对于发现的问题及时进行整改，确保项目实施过程的规范性和准确性，提高风险保障措施。</w:t>
            </w:r>
          </w:p>
          <w:bookmarkEnd w:id="35"/>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sz w:val="32"/>
                <w:szCs w:val="32"/>
                <w:lang w:val="en-US" w:eastAsia="zh-CN"/>
              </w:rPr>
            </w:pPr>
            <w:bookmarkStart w:id="36" w:name="_Toc25678"/>
            <w:bookmarkStart w:id="37" w:name="_Toc18867"/>
            <w:bookmarkStart w:id="38" w:name="_Toc26669"/>
            <w:r>
              <w:rPr>
                <w:rFonts w:hint="eastAsia" w:ascii="仿宋" w:hAnsi="仿宋" w:eastAsia="仿宋" w:cs="仿宋"/>
                <w:b/>
                <w:bCs/>
                <w:sz w:val="32"/>
                <w:szCs w:val="32"/>
                <w:lang w:val="en-US" w:eastAsia="zh-CN"/>
              </w:rPr>
              <w:t>（四）加强预算绩效管理</w:t>
            </w:r>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snapToGrid/>
                <w:kern w:val="2"/>
                <w:sz w:val="28"/>
                <w:szCs w:val="28"/>
                <w:lang w:val="en-US" w:eastAsia="zh-CN"/>
              </w:rPr>
              <w:t>建议山丹县民政局按照《中共甘肃省委 甘肃省人民政府关于实施预算绩效管理的实施意见》（甘发〔2018〕32号）和《甘肃省财政厅印发〈甘肃省省级预算绩效管理办法〉》（甘财绩〔2020〕5号）文件要求，及时开展项目绩效运行监控及自评工作，确保工作内容真实、完整。确保监控结果符合实际，真实客观，且对偏离绩效目标、预期无效项目及时提出纠正或调整意见，加强项目和资金管理；绩效自评报告以及项目绩效自评表数据准确完整，确保自评表中绩效目标指标和指标值与年初绩效目标情况情况一致，且绩效指标自评完成情况符合客观实际，如实反映出项目产出情况和效益情况，报告相关数据齐全、准确，评价结论客观合理。</w:t>
            </w:r>
          </w:p>
          <w:p>
            <w:pPr>
              <w:keepNext w:val="0"/>
              <w:keepLines w:val="0"/>
              <w:pageBreakBefore w:val="0"/>
              <w:wordWrap/>
              <w:overflowPunct/>
              <w:topLinePunct w:val="0"/>
              <w:bidi w:val="0"/>
              <w:adjustRightInd w:val="0"/>
              <w:snapToGrid w:val="0"/>
              <w:spacing w:line="560" w:lineRule="exact"/>
              <w:ind w:firstLine="642" w:firstLineChars="200"/>
              <w:rPr>
                <w:rFonts w:hint="eastAsia" w:ascii="仿宋" w:hAnsi="仿宋" w:eastAsia="仿宋" w:cs="仿宋"/>
                <w:b/>
                <w:bCs/>
                <w:sz w:val="32"/>
                <w:szCs w:val="32"/>
                <w:lang w:val="en-US" w:eastAsia="zh-CN"/>
              </w:rPr>
            </w:pPr>
            <w:bookmarkStart w:id="39" w:name="_Toc28065"/>
            <w:bookmarkStart w:id="40" w:name="_Toc11623"/>
            <w:bookmarkStart w:id="41" w:name="_Toc4986"/>
            <w:r>
              <w:rPr>
                <w:rFonts w:hint="eastAsia" w:ascii="仿宋" w:hAnsi="仿宋" w:eastAsia="仿宋" w:cs="仿宋"/>
                <w:b/>
                <w:bCs/>
                <w:sz w:val="32"/>
                <w:szCs w:val="32"/>
                <w:lang w:val="en-US" w:eastAsia="zh-CN"/>
              </w:rPr>
              <w:t>（五）强化项目管理水平，加快项目建设进度</w:t>
            </w:r>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snapToGrid/>
                <w:kern w:val="2"/>
                <w:sz w:val="28"/>
                <w:szCs w:val="28"/>
                <w:lang w:val="en-US" w:eastAsia="zh-CN"/>
              </w:rPr>
            </w:pPr>
            <w:r>
              <w:rPr>
                <w:rFonts w:hint="eastAsia" w:ascii="仿宋" w:hAnsi="仿宋" w:eastAsia="仿宋" w:cs="仿宋"/>
                <w:bCs w:val="0"/>
                <w:kern w:val="2"/>
                <w:sz w:val="28"/>
                <w:szCs w:val="28"/>
                <w:lang w:val="en-US" w:eastAsia="zh-CN" w:bidi="ar-SA"/>
              </w:rPr>
              <w:t>建议山丹县民政局强化项目管理水平，相关管理制度执行到位，根据项目实施方案及相关文件规定内容按时完成各项工作，因特殊原因导致项目实施进度滞后的及时发现问题，及时整改，力争项目按计划实施。</w:t>
            </w:r>
          </w:p>
          <w:p>
            <w:pPr>
              <w:widowControl w:val="0"/>
              <w:kinsoku/>
              <w:autoSpaceDE/>
              <w:autoSpaceDN/>
              <w:spacing w:line="360" w:lineRule="auto"/>
              <w:jc w:val="both"/>
              <w:textAlignment w:val="auto"/>
              <w:rPr>
                <w:rFonts w:hint="eastAsia" w:ascii="仿宋" w:hAnsi="仿宋" w:eastAsia="仿宋" w:cs="仿宋"/>
                <w:sz w:val="28"/>
                <w:szCs w:val="28"/>
                <w:lang w:eastAsia="zh-CN"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766" w:hRule="atLeast"/>
          <w:jc w:val="center"/>
        </w:trPr>
        <w:tc>
          <w:tcPr>
            <w:tcW w:w="10088" w:type="dxa"/>
            <w:tcBorders>
              <w:tl2br w:val="nil"/>
              <w:tr2bl w:val="nil"/>
            </w:tcBorders>
            <w:vAlign w:val="center"/>
          </w:tcPr>
          <w:p>
            <w:pPr>
              <w:pStyle w:val="10"/>
              <w:spacing w:before="240" w:beforeLines="100" w:line="360" w:lineRule="auto"/>
              <w:jc w:val="center"/>
              <w:rPr>
                <w:rFonts w:hint="eastAsia" w:ascii="仿宋" w:hAnsi="仿宋" w:eastAsia="仿宋" w:cs="仿宋"/>
                <w:sz w:val="28"/>
                <w:szCs w:val="28"/>
                <w:lang w:eastAsia="zh-CN"/>
              </w:rPr>
            </w:pPr>
            <w:r>
              <w:rPr>
                <w:rFonts w:hint="eastAsia" w:ascii="仿宋" w:hAnsi="仿宋" w:eastAsia="仿宋" w:cs="仿宋"/>
                <w:b/>
                <w:bCs/>
                <w:snapToGrid/>
                <w:kern w:val="2"/>
                <w:sz w:val="28"/>
                <w:szCs w:val="28"/>
                <w:lang w:eastAsia="zh-CN"/>
              </w:rPr>
              <w:t>七、其他需要说明的事项</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3960" w:hRule="atLeast"/>
          <w:jc w:val="center"/>
        </w:trPr>
        <w:tc>
          <w:tcPr>
            <w:tcW w:w="10088" w:type="dxa"/>
            <w:tcBorders>
              <w:tl2br w:val="nil"/>
              <w:tr2bl w:val="nil"/>
            </w:tcBorders>
            <w:vAlign w:val="center"/>
          </w:tcPr>
          <w:p>
            <w:pPr>
              <w:pStyle w:val="1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bCs/>
                <w:snapToGrid/>
                <w:kern w:val="2"/>
                <w:sz w:val="28"/>
                <w:szCs w:val="28"/>
                <w:lang w:eastAsia="zh-CN"/>
              </w:rPr>
              <w:t>本绩效评价报告是</w:t>
            </w:r>
            <w:bookmarkStart w:id="42" w:name="_GoBack"/>
            <w:bookmarkEnd w:id="42"/>
            <w:r>
              <w:rPr>
                <w:rFonts w:hint="eastAsia" w:ascii="仿宋" w:hAnsi="仿宋" w:eastAsia="仿宋" w:cs="仿宋"/>
                <w:bCs/>
                <w:snapToGrid/>
                <w:kern w:val="2"/>
                <w:sz w:val="28"/>
                <w:szCs w:val="28"/>
                <w:lang w:eastAsia="zh-CN"/>
              </w:rPr>
              <w:t>在被评价单位提供项目评价资料基础上经核实、分析完成的，被评价单位对所提供资料的合法性、真实性、完整性负责。</w:t>
            </w:r>
          </w:p>
        </w:tc>
      </w:tr>
    </w:tbl>
    <w:p>
      <w:pPr>
        <w:rPr>
          <w:rFonts w:hint="eastAsia" w:ascii="仿宋" w:hAnsi="仿宋" w:eastAsia="仿宋" w:cs="仿宋"/>
          <w:sz w:val="28"/>
          <w:szCs w:val="28"/>
          <w:lang w:eastAsia="zh-CN"/>
        </w:rPr>
      </w:pPr>
    </w:p>
    <w:sectPr>
      <w:type w:val="continuous"/>
      <w:pgSz w:w="11907" w:h="16839"/>
      <w:pgMar w:top="1440" w:right="1803" w:bottom="1440" w:left="1803" w:header="0" w:footer="9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125"/>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9F194"/>
    <w:multiLevelType w:val="singleLevel"/>
    <w:tmpl w:val="11F9F194"/>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c6228b7b-a56e-465e-95f4-53bbf2facca6"/>
  </w:docVars>
  <w:rsids>
    <w:rsidRoot w:val="EB8BCB84"/>
    <w:rsid w:val="00341BAE"/>
    <w:rsid w:val="00413F2F"/>
    <w:rsid w:val="0072658B"/>
    <w:rsid w:val="009A13B3"/>
    <w:rsid w:val="00FC4CB1"/>
    <w:rsid w:val="00FD6BBB"/>
    <w:rsid w:val="034A70C0"/>
    <w:rsid w:val="04C74740"/>
    <w:rsid w:val="05203D0E"/>
    <w:rsid w:val="06616B1A"/>
    <w:rsid w:val="0746789B"/>
    <w:rsid w:val="07481B68"/>
    <w:rsid w:val="079254DA"/>
    <w:rsid w:val="0850306F"/>
    <w:rsid w:val="093F51ED"/>
    <w:rsid w:val="09AF04FC"/>
    <w:rsid w:val="0A195A3E"/>
    <w:rsid w:val="0B2D4DE7"/>
    <w:rsid w:val="0BAC0CC5"/>
    <w:rsid w:val="0D2F5B49"/>
    <w:rsid w:val="0D786F20"/>
    <w:rsid w:val="0E094EF4"/>
    <w:rsid w:val="0E121122"/>
    <w:rsid w:val="0E855450"/>
    <w:rsid w:val="0E9D6C3E"/>
    <w:rsid w:val="0EDE003B"/>
    <w:rsid w:val="118222EB"/>
    <w:rsid w:val="11DF756D"/>
    <w:rsid w:val="128679E9"/>
    <w:rsid w:val="12E846F1"/>
    <w:rsid w:val="13533D6F"/>
    <w:rsid w:val="13E56991"/>
    <w:rsid w:val="149F4BDB"/>
    <w:rsid w:val="155142DE"/>
    <w:rsid w:val="15681628"/>
    <w:rsid w:val="15D849FF"/>
    <w:rsid w:val="16247C45"/>
    <w:rsid w:val="16301E75"/>
    <w:rsid w:val="16FA09A5"/>
    <w:rsid w:val="17147CB9"/>
    <w:rsid w:val="174321D6"/>
    <w:rsid w:val="17793FC0"/>
    <w:rsid w:val="17E01949"/>
    <w:rsid w:val="17F07902"/>
    <w:rsid w:val="18227991"/>
    <w:rsid w:val="18860BB9"/>
    <w:rsid w:val="19E27BFB"/>
    <w:rsid w:val="1A1D6E85"/>
    <w:rsid w:val="1AE2736B"/>
    <w:rsid w:val="1BD90D71"/>
    <w:rsid w:val="1CC23D13"/>
    <w:rsid w:val="1D8F0099"/>
    <w:rsid w:val="1DC47C25"/>
    <w:rsid w:val="1EC2624D"/>
    <w:rsid w:val="1F01510E"/>
    <w:rsid w:val="1FBC0EEE"/>
    <w:rsid w:val="20166850"/>
    <w:rsid w:val="201E5705"/>
    <w:rsid w:val="2177331E"/>
    <w:rsid w:val="229B303C"/>
    <w:rsid w:val="233745DA"/>
    <w:rsid w:val="24973CD7"/>
    <w:rsid w:val="24A73F1B"/>
    <w:rsid w:val="25951FC5"/>
    <w:rsid w:val="25C1725E"/>
    <w:rsid w:val="26804A23"/>
    <w:rsid w:val="26FD42C6"/>
    <w:rsid w:val="272A498F"/>
    <w:rsid w:val="27BC3F0D"/>
    <w:rsid w:val="284101E2"/>
    <w:rsid w:val="2B0A5203"/>
    <w:rsid w:val="2B2636BF"/>
    <w:rsid w:val="2C5129BE"/>
    <w:rsid w:val="2C6E17C2"/>
    <w:rsid w:val="2C866B0B"/>
    <w:rsid w:val="2C9F5E1F"/>
    <w:rsid w:val="2DA92C79"/>
    <w:rsid w:val="2DD438A6"/>
    <w:rsid w:val="2E921798"/>
    <w:rsid w:val="2FD960EE"/>
    <w:rsid w:val="2FE51D9B"/>
    <w:rsid w:val="300A1801"/>
    <w:rsid w:val="301B2870"/>
    <w:rsid w:val="31280191"/>
    <w:rsid w:val="314D01A9"/>
    <w:rsid w:val="31CC169C"/>
    <w:rsid w:val="320209E2"/>
    <w:rsid w:val="329F3D86"/>
    <w:rsid w:val="32DD4FAB"/>
    <w:rsid w:val="33690584"/>
    <w:rsid w:val="338C73BD"/>
    <w:rsid w:val="34B2310F"/>
    <w:rsid w:val="36541A28"/>
    <w:rsid w:val="36EE7787"/>
    <w:rsid w:val="3745767C"/>
    <w:rsid w:val="37930761"/>
    <w:rsid w:val="379F4F25"/>
    <w:rsid w:val="385E6B8E"/>
    <w:rsid w:val="38B86862"/>
    <w:rsid w:val="38D330D8"/>
    <w:rsid w:val="39AE2F87"/>
    <w:rsid w:val="3A5712CC"/>
    <w:rsid w:val="3A96260F"/>
    <w:rsid w:val="3AFB3CBE"/>
    <w:rsid w:val="3B1E43B3"/>
    <w:rsid w:val="3C0B2B89"/>
    <w:rsid w:val="3C3814A4"/>
    <w:rsid w:val="3CAA4150"/>
    <w:rsid w:val="3D70539A"/>
    <w:rsid w:val="3DF5764D"/>
    <w:rsid w:val="3E034904"/>
    <w:rsid w:val="3E554590"/>
    <w:rsid w:val="3F214472"/>
    <w:rsid w:val="3FD17C46"/>
    <w:rsid w:val="40550877"/>
    <w:rsid w:val="40CF5B82"/>
    <w:rsid w:val="41A75102"/>
    <w:rsid w:val="428941EF"/>
    <w:rsid w:val="42CE4911"/>
    <w:rsid w:val="43193DDE"/>
    <w:rsid w:val="437A2465"/>
    <w:rsid w:val="43CA50D8"/>
    <w:rsid w:val="468E4AE3"/>
    <w:rsid w:val="46B67B95"/>
    <w:rsid w:val="4726315C"/>
    <w:rsid w:val="473D3E13"/>
    <w:rsid w:val="477C2AAA"/>
    <w:rsid w:val="479003E6"/>
    <w:rsid w:val="49E32B5B"/>
    <w:rsid w:val="4A4C4A99"/>
    <w:rsid w:val="4C40062D"/>
    <w:rsid w:val="4C8B0FC9"/>
    <w:rsid w:val="4DA370C6"/>
    <w:rsid w:val="4DFE254E"/>
    <w:rsid w:val="4E8A3DE2"/>
    <w:rsid w:val="4F6C1739"/>
    <w:rsid w:val="4FA925F4"/>
    <w:rsid w:val="4FE614EB"/>
    <w:rsid w:val="510936E3"/>
    <w:rsid w:val="53397B84"/>
    <w:rsid w:val="541B79C2"/>
    <w:rsid w:val="54C33BA9"/>
    <w:rsid w:val="54C94F38"/>
    <w:rsid w:val="54ED18A0"/>
    <w:rsid w:val="55DD5CAC"/>
    <w:rsid w:val="56552F27"/>
    <w:rsid w:val="59741916"/>
    <w:rsid w:val="5987789B"/>
    <w:rsid w:val="5A06687E"/>
    <w:rsid w:val="5C0056E3"/>
    <w:rsid w:val="5CBF734C"/>
    <w:rsid w:val="5D080CF3"/>
    <w:rsid w:val="5E5B41DD"/>
    <w:rsid w:val="600F4147"/>
    <w:rsid w:val="603E67DA"/>
    <w:rsid w:val="62A212A2"/>
    <w:rsid w:val="62FA10DE"/>
    <w:rsid w:val="63275C4B"/>
    <w:rsid w:val="635B58F5"/>
    <w:rsid w:val="635E5215"/>
    <w:rsid w:val="64AE229A"/>
    <w:rsid w:val="654C6C5A"/>
    <w:rsid w:val="65724337"/>
    <w:rsid w:val="66D24120"/>
    <w:rsid w:val="67206C39"/>
    <w:rsid w:val="69597BA3"/>
    <w:rsid w:val="69847953"/>
    <w:rsid w:val="6A22716C"/>
    <w:rsid w:val="6A4315BC"/>
    <w:rsid w:val="6A681023"/>
    <w:rsid w:val="6AFE3735"/>
    <w:rsid w:val="6B1271E1"/>
    <w:rsid w:val="6BCE4EB6"/>
    <w:rsid w:val="6CFE7A1D"/>
    <w:rsid w:val="6D1F7E14"/>
    <w:rsid w:val="6D2B05EE"/>
    <w:rsid w:val="6D9B28C9"/>
    <w:rsid w:val="6E3000AA"/>
    <w:rsid w:val="6EC627BC"/>
    <w:rsid w:val="6F750978"/>
    <w:rsid w:val="6F885CC3"/>
    <w:rsid w:val="70AD6B66"/>
    <w:rsid w:val="71031AA6"/>
    <w:rsid w:val="71752277"/>
    <w:rsid w:val="7399049F"/>
    <w:rsid w:val="7445567D"/>
    <w:rsid w:val="75BE1F92"/>
    <w:rsid w:val="75C5745F"/>
    <w:rsid w:val="761B163F"/>
    <w:rsid w:val="76603947"/>
    <w:rsid w:val="7682346D"/>
    <w:rsid w:val="77752FD1"/>
    <w:rsid w:val="78964FAD"/>
    <w:rsid w:val="795135CA"/>
    <w:rsid w:val="79A731EA"/>
    <w:rsid w:val="79AC5C1E"/>
    <w:rsid w:val="7A796935"/>
    <w:rsid w:val="7AAA27D0"/>
    <w:rsid w:val="7B430ADD"/>
    <w:rsid w:val="7BA548EF"/>
    <w:rsid w:val="7D407BDD"/>
    <w:rsid w:val="7E175822"/>
    <w:rsid w:val="7EE41F32"/>
    <w:rsid w:val="7F7D049A"/>
    <w:rsid w:val="AFFD87EB"/>
    <w:rsid w:val="EB8BC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4"/>
    <w:next w:val="5"/>
    <w:unhideWhenUsed/>
    <w:qFormat/>
    <w:uiPriority w:val="0"/>
    <w:pPr>
      <w:keepNext/>
      <w:keepLines/>
      <w:ind w:firstLine="960"/>
      <w:outlineLvl w:val="1"/>
    </w:pPr>
    <w:rPr>
      <w:rFonts w:ascii="楷体_GB2312" w:hAnsi="楷体_GB2312" w:cs="Times New Roman"/>
    </w:rPr>
  </w:style>
  <w:style w:type="paragraph" w:styleId="4">
    <w:name w:val="heading 3"/>
    <w:basedOn w:val="1"/>
    <w:next w:val="1"/>
    <w:qFormat/>
    <w:uiPriority w:val="9"/>
    <w:pPr>
      <w:spacing w:line="560" w:lineRule="exact"/>
      <w:ind w:firstLine="640" w:firstLineChars="200"/>
      <w:outlineLvl w:val="2"/>
    </w:pPr>
    <w:rPr>
      <w:rFonts w:ascii="楷体" w:hAnsi="楷体" w:eastAsia="楷体_GB2312" w:cs="仿宋"/>
      <w:b/>
      <w:sz w:val="32"/>
      <w:szCs w:val="32"/>
    </w:rPr>
  </w:style>
  <w:style w:type="paragraph" w:styleId="2">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宋体" w:hAnsi="宋体" w:eastAsia="宋体" w:cs="宋体"/>
      <w:sz w:val="24"/>
      <w:lang w:val="zh-CN" w:bidi="zh-CN"/>
    </w:rPr>
  </w:style>
  <w:style w:type="paragraph" w:styleId="6">
    <w:name w:val="footer"/>
    <w:basedOn w:val="1"/>
    <w:link w:val="14"/>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0">
    <w:name w:val="Table Text"/>
    <w:basedOn w:val="1"/>
    <w:semiHidden/>
    <w:qFormat/>
    <w:uiPriority w:val="0"/>
    <w:rPr>
      <w:rFonts w:ascii="宋体" w:hAnsi="宋体" w:eastAsia="宋体" w:cs="宋体"/>
      <w:sz w:val="24"/>
      <w:szCs w:val="24"/>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J正文"/>
    <w:basedOn w:val="1"/>
    <w:qFormat/>
    <w:uiPriority w:val="0"/>
    <w:pPr>
      <w:spacing w:line="360" w:lineRule="auto"/>
      <w:ind w:firstLine="656"/>
    </w:pPr>
    <w:rPr>
      <w:rFonts w:cs="仿宋_GB2312"/>
      <w:spacing w:val="4"/>
      <w:szCs w:val="32"/>
    </w:rPr>
  </w:style>
  <w:style w:type="paragraph" w:customStyle="1" w:styleId="13">
    <w:name w:val="Table Paragraph"/>
    <w:basedOn w:val="1"/>
    <w:qFormat/>
    <w:uiPriority w:val="1"/>
    <w:rPr>
      <w:rFonts w:ascii="仿宋" w:hAnsi="仿宋" w:cs="仿宋"/>
      <w:lang w:val="zh-CN" w:bidi="zh-CN"/>
    </w:rPr>
  </w:style>
  <w:style w:type="character" w:customStyle="1" w:styleId="14">
    <w:name w:val="页脚 字符"/>
    <w:basedOn w:val="9"/>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5106</Words>
  <Characters>5462</Characters>
  <Lines>31</Lines>
  <Paragraphs>8</Paragraphs>
  <TotalTime>71</TotalTime>
  <ScaleCrop>false</ScaleCrop>
  <LinksUpToDate>false</LinksUpToDate>
  <CharactersWithSpaces>5478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2024-08-27T23:00:00Z</dcterms:created>
  <dc:creator>清风明月</dc:creator>
  <cp:lastModifiedBy>uos</cp:lastModifiedBy>
  <dcterms:modified xsi:type="dcterms:W3CDTF">2024-12-24T16:20:31Z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BB61CECCA20E45EAADDFF1E3A0AD68FC</vt:lpwstr>
  </property>
</Properties>
</file>