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黑体" w:hAnsi="黑体" w:eastAsia="黑体" w:cs="黑体"/>
          <w:b/>
          <w:bCs/>
          <w:snapToGrid/>
          <w:color w:val="auto"/>
          <w:kern w:val="2"/>
          <w:sz w:val="44"/>
          <w:szCs w:val="44"/>
          <w:highlight w:val="none"/>
          <w:lang w:val="en-US" w:eastAsia="zh-CN"/>
        </w:rPr>
      </w:pPr>
      <w:r>
        <w:rPr>
          <w:rFonts w:hint="eastAsia" w:ascii="黑体" w:hAnsi="黑体" w:eastAsia="黑体" w:cs="黑体"/>
          <w:b/>
          <w:bCs/>
          <w:snapToGrid/>
          <w:color w:val="auto"/>
          <w:kern w:val="2"/>
          <w:sz w:val="44"/>
          <w:szCs w:val="44"/>
          <w:highlight w:val="none"/>
          <w:lang w:val="en-US" w:eastAsia="zh-CN"/>
        </w:rPr>
        <w:t>山丹县霍城河灌区节水改造工程项目</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黑体" w:hAnsi="黑体" w:eastAsia="黑体" w:cs="黑体"/>
          <w:b/>
          <w:bCs/>
          <w:snapToGrid/>
          <w:color w:val="auto"/>
          <w:kern w:val="2"/>
          <w:sz w:val="44"/>
          <w:szCs w:val="44"/>
          <w:highlight w:val="none"/>
          <w:lang w:val="en-US" w:eastAsia="zh-CN"/>
        </w:rPr>
      </w:pPr>
      <w:r>
        <w:rPr>
          <w:rFonts w:hint="eastAsia" w:ascii="黑体" w:hAnsi="黑体" w:eastAsia="黑体" w:cs="黑体"/>
          <w:b/>
          <w:bCs/>
          <w:snapToGrid/>
          <w:color w:val="auto"/>
          <w:kern w:val="2"/>
          <w:sz w:val="44"/>
          <w:szCs w:val="44"/>
          <w:highlight w:val="none"/>
          <w:lang w:val="en-US" w:eastAsia="zh-CN"/>
        </w:rPr>
        <w:t>（政府专项债券项目）绩效评价报告</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snapToGrid/>
          <w:color w:val="7030A0"/>
          <w:kern w:val="2"/>
          <w:sz w:val="32"/>
          <w:szCs w:val="32"/>
          <w:highlight w:val="none"/>
          <w:lang w:val="en-US" w:eastAsia="zh-CN"/>
        </w:rPr>
      </w:pPr>
      <w:r>
        <w:rPr>
          <w:rFonts w:hint="eastAsia" w:ascii="仿宋" w:hAnsi="仿宋" w:eastAsia="仿宋" w:cs="仿宋"/>
          <w:b/>
          <w:bCs/>
          <w:snapToGrid/>
          <w:color w:val="7030A0"/>
          <w:kern w:val="2"/>
          <w:sz w:val="32"/>
          <w:szCs w:val="32"/>
          <w:highlight w:val="none"/>
          <w:lang w:val="en-US" w:eastAsia="zh-CN"/>
        </w:rPr>
        <w:t xml:space="preserve">  </w:t>
      </w:r>
    </w:p>
    <w:p>
      <w:pPr>
        <w:keepNext w:val="0"/>
        <w:keepLines w:val="0"/>
        <w:pageBreakBefore w:val="0"/>
        <w:widowControl/>
        <w:suppressLineNumbers w:val="0"/>
        <w:pBdr>
          <w:top w:val="none" w:color="000000" w:sz="0" w:space="0"/>
        </w:pBdr>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8"/>
          <w:szCs w:val="28"/>
        </w:rPr>
      </w:pPr>
      <w:r>
        <w:rPr>
          <w:rFonts w:hint="eastAsia" w:ascii="仿宋" w:hAnsi="仿宋" w:eastAsia="仿宋" w:cs="仿宋"/>
          <w:b/>
          <w:bCs/>
          <w:snapToGrid/>
          <w:color w:val="auto"/>
          <w:kern w:val="2"/>
          <w:sz w:val="28"/>
          <w:szCs w:val="28"/>
          <w:highlight w:val="none"/>
          <w:lang w:val="en-US" w:eastAsia="zh-CN"/>
        </w:rPr>
        <w:t>一、项目基本情况</w:t>
      </w:r>
    </w:p>
    <w:tbl>
      <w:tblPr>
        <w:tblStyle w:val="10"/>
        <w:tblW w:w="980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84"/>
        <w:gridCol w:w="2095"/>
        <w:gridCol w:w="2090"/>
        <w:gridCol w:w="349"/>
        <w:gridCol w:w="1618"/>
        <w:gridCol w:w="25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1084" w:type="dxa"/>
            <w:vMerge w:val="restart"/>
            <w:tcBorders>
              <w:tl2br w:val="nil"/>
              <w:tr2bl w:val="nil"/>
            </w:tcBorders>
            <w:noWrap w:val="0"/>
            <w:textDirection w:val="tbRlV"/>
            <w:vAlign w:val="center"/>
          </w:tcPr>
          <w:p>
            <w:pPr>
              <w:pStyle w:val="9"/>
              <w:spacing w:before="227" w:line="209" w:lineRule="auto"/>
              <w:ind w:left="583"/>
              <w:jc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基 本 情 况</w:t>
            </w:r>
          </w:p>
        </w:tc>
        <w:tc>
          <w:tcPr>
            <w:tcW w:w="2095"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项目名称</w:t>
            </w:r>
          </w:p>
        </w:tc>
        <w:tc>
          <w:tcPr>
            <w:tcW w:w="662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afterLines="50" w:line="700" w:lineRule="exact"/>
              <w:ind w:firstLine="0" w:firstLineChars="0"/>
              <w:jc w:val="center"/>
              <w:textAlignment w:val="auto"/>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val="0"/>
                <w:bCs w:val="0"/>
                <w:snapToGrid/>
                <w:color w:val="auto"/>
                <w:kern w:val="2"/>
                <w:sz w:val="28"/>
                <w:szCs w:val="28"/>
                <w:highlight w:val="none"/>
                <w:lang w:val="en-US" w:eastAsia="zh-CN" w:bidi="ar-SA"/>
              </w:rPr>
              <w:t>山丹县霍城河灌区节水改造工程项目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1084" w:type="dxa"/>
            <w:vMerge w:val="continue"/>
            <w:tcBorders>
              <w:tl2br w:val="nil"/>
              <w:tr2bl w:val="nil"/>
            </w:tcBorders>
            <w:noWrap w:val="0"/>
            <w:textDirection w:val="tbRlV"/>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p>
        </w:tc>
        <w:tc>
          <w:tcPr>
            <w:tcW w:w="20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评价年度</w:t>
            </w:r>
          </w:p>
        </w:tc>
        <w:tc>
          <w:tcPr>
            <w:tcW w:w="20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val="0"/>
                <w:bCs w:val="0"/>
                <w:snapToGrid/>
                <w:color w:val="auto"/>
                <w:kern w:val="2"/>
                <w:sz w:val="28"/>
                <w:szCs w:val="28"/>
                <w:highlight w:val="none"/>
                <w:lang w:val="en-US" w:eastAsia="zh-CN" w:bidi="ar-SA"/>
              </w:rPr>
              <w:t>2023年度</w:t>
            </w:r>
          </w:p>
        </w:tc>
        <w:tc>
          <w:tcPr>
            <w:tcW w:w="1967"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评价类型</w:t>
            </w:r>
          </w:p>
        </w:tc>
        <w:tc>
          <w:tcPr>
            <w:tcW w:w="25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val="0"/>
                <w:bCs w:val="0"/>
                <w:snapToGrid/>
                <w:color w:val="auto"/>
                <w:kern w:val="2"/>
                <w:sz w:val="28"/>
                <w:szCs w:val="28"/>
                <w:highlight w:val="none"/>
                <w:lang w:val="en-US" w:eastAsia="zh-CN" w:bidi="ar-SA"/>
              </w:rPr>
              <w:t>财政评</w:t>
            </w:r>
            <w:r>
              <w:rPr>
                <w:rFonts w:hint="eastAsia" w:ascii="仿宋" w:hAnsi="仿宋" w:eastAsia="仿宋" w:cs="仿宋"/>
                <w:b w:val="0"/>
                <w:bCs w:val="0"/>
                <w:snapToGrid/>
                <w:color w:val="auto"/>
                <w:kern w:val="2"/>
                <w:sz w:val="28"/>
                <w:szCs w:val="28"/>
                <w:highlight w:val="none"/>
                <w:lang w:val="en-US" w:eastAsia="zh-CN" w:bidi="ar-SA"/>
              </w:rPr>
              <w:drawing>
                <wp:anchor distT="0" distB="0" distL="114300" distR="114300" simplePos="0" relativeHeight="251659264" behindDoc="1" locked="0" layoutInCell="1" allowOverlap="1">
                  <wp:simplePos x="0" y="0"/>
                  <wp:positionH relativeFrom="column">
                    <wp:posOffset>3307715</wp:posOffset>
                  </wp:positionH>
                  <wp:positionV relativeFrom="paragraph">
                    <wp:posOffset>33655</wp:posOffset>
                  </wp:positionV>
                  <wp:extent cx="2153920" cy="2451100"/>
                  <wp:effectExtent l="0" t="0" r="0" b="0"/>
                  <wp:wrapNone/>
                  <wp:docPr id="1" name="图片 17" descr="2021102018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20211020181437"/>
                          <pic:cNvPicPr>
                            <a:picLocks noChangeAspect="1"/>
                          </pic:cNvPicPr>
                        </pic:nvPicPr>
                        <pic:blipFill>
                          <a:blip r:embed="rId7"/>
                          <a:stretch>
                            <a:fillRect/>
                          </a:stretch>
                        </pic:blipFill>
                        <pic:spPr>
                          <a:xfrm>
                            <a:off x="0" y="0"/>
                            <a:ext cx="2153920" cy="2451100"/>
                          </a:xfrm>
                          <a:prstGeom prst="rect">
                            <a:avLst/>
                          </a:prstGeom>
                          <a:noFill/>
                          <a:ln>
                            <a:noFill/>
                          </a:ln>
                        </pic:spPr>
                      </pic:pic>
                    </a:graphicData>
                  </a:graphic>
                </wp:anchor>
              </w:drawing>
            </w:r>
            <w:r>
              <w:rPr>
                <w:rFonts w:hint="eastAsia" w:ascii="仿宋" w:hAnsi="仿宋" w:eastAsia="仿宋" w:cs="仿宋"/>
                <w:b w:val="0"/>
                <w:bCs w:val="0"/>
                <w:snapToGrid/>
                <w:color w:val="auto"/>
                <w:kern w:val="2"/>
                <w:sz w:val="28"/>
                <w:szCs w:val="28"/>
                <w:highlight w:val="none"/>
                <w:lang w:val="en-US" w:eastAsia="zh-CN" w:bidi="ar-SA"/>
              </w:rPr>
              <w:t>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92" w:hRule="atLeast"/>
          <w:jc w:val="center"/>
        </w:trPr>
        <w:tc>
          <w:tcPr>
            <w:tcW w:w="1084" w:type="dxa"/>
            <w:vMerge w:val="continue"/>
            <w:tcBorders>
              <w:tl2br w:val="nil"/>
              <w:tr2bl w:val="nil"/>
            </w:tcBorders>
            <w:noWrap w:val="0"/>
            <w:textDirection w:val="tbRlV"/>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p>
        </w:tc>
        <w:tc>
          <w:tcPr>
            <w:tcW w:w="209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委托单位</w:t>
            </w:r>
          </w:p>
        </w:tc>
        <w:tc>
          <w:tcPr>
            <w:tcW w:w="20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val="0"/>
                <w:bCs w:val="0"/>
                <w:snapToGrid/>
                <w:color w:val="auto"/>
                <w:kern w:val="2"/>
                <w:sz w:val="28"/>
                <w:szCs w:val="28"/>
                <w:highlight w:val="none"/>
                <w:lang w:val="en-US" w:eastAsia="zh-CN" w:bidi="ar-SA"/>
              </w:rPr>
              <w:t>山丹县财政局</w:t>
            </w:r>
          </w:p>
        </w:tc>
        <w:tc>
          <w:tcPr>
            <w:tcW w:w="1967"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评价机构</w:t>
            </w:r>
          </w:p>
        </w:tc>
        <w:tc>
          <w:tcPr>
            <w:tcW w:w="25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val="0"/>
                <w:snapToGrid/>
                <w:color w:val="auto"/>
                <w:kern w:val="2"/>
                <w:sz w:val="28"/>
                <w:szCs w:val="28"/>
                <w:highlight w:val="none"/>
                <w:lang w:val="en-US" w:eastAsia="zh-CN" w:bidi="ar-SA"/>
              </w:rPr>
            </w:pPr>
            <w:r>
              <w:rPr>
                <w:rFonts w:hint="eastAsia" w:ascii="仿宋" w:hAnsi="仿宋" w:eastAsia="仿宋" w:cs="仿宋"/>
                <w:b w:val="0"/>
                <w:bCs w:val="0"/>
                <w:snapToGrid/>
                <w:color w:val="auto"/>
                <w:kern w:val="2"/>
                <w:sz w:val="28"/>
                <w:szCs w:val="28"/>
                <w:highlight w:val="none"/>
                <w:lang w:val="en-US" w:eastAsia="zh-CN" w:bidi="ar-SA"/>
              </w:rPr>
              <w:t>甘肃坤信永诚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val="0"/>
                <w:snapToGrid/>
                <w:color w:val="auto"/>
                <w:kern w:val="2"/>
                <w:sz w:val="28"/>
                <w:szCs w:val="28"/>
                <w:highlight w:val="none"/>
                <w:lang w:val="en-US" w:eastAsia="zh-CN" w:bidi="ar-SA"/>
              </w:rPr>
            </w:pPr>
            <w:r>
              <w:rPr>
                <w:rFonts w:hint="eastAsia" w:ascii="仿宋" w:hAnsi="仿宋" w:eastAsia="仿宋" w:cs="仿宋"/>
                <w:b w:val="0"/>
                <w:bCs w:val="0"/>
                <w:snapToGrid/>
                <w:color w:val="auto"/>
                <w:kern w:val="2"/>
                <w:sz w:val="28"/>
                <w:szCs w:val="28"/>
                <w:highlight w:val="none"/>
                <w:lang w:val="en-US" w:eastAsia="zh-CN" w:bidi="ar-SA"/>
              </w:rPr>
              <w:t>绩效评价咨询</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val="0"/>
                <w:bCs w:val="0"/>
                <w:snapToGrid/>
                <w:color w:val="auto"/>
                <w:kern w:val="2"/>
                <w:sz w:val="28"/>
                <w:szCs w:val="28"/>
                <w:highlight w:val="none"/>
                <w:lang w:val="en-US" w:eastAsia="zh-CN" w:bidi="ar-SA"/>
              </w:rPr>
              <w:t>服务有限公司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92" w:hRule="atLeast"/>
          <w:jc w:val="center"/>
        </w:trPr>
        <w:tc>
          <w:tcPr>
            <w:tcW w:w="1084" w:type="dxa"/>
            <w:vMerge w:val="continue"/>
            <w:tcBorders>
              <w:tl2br w:val="nil"/>
              <w:tr2bl w:val="nil"/>
            </w:tcBorders>
            <w:noWrap w:val="0"/>
            <w:textDirection w:val="tbRlV"/>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p>
        </w:tc>
        <w:tc>
          <w:tcPr>
            <w:tcW w:w="2095"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被评价部门</w:t>
            </w:r>
          </w:p>
        </w:tc>
        <w:tc>
          <w:tcPr>
            <w:tcW w:w="2090"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val="0"/>
                <w:bCs w:val="0"/>
                <w:snapToGrid/>
                <w:color w:val="auto"/>
                <w:kern w:val="2"/>
                <w:sz w:val="28"/>
                <w:szCs w:val="28"/>
                <w:highlight w:val="none"/>
                <w:lang w:val="en-US" w:eastAsia="zh-CN" w:bidi="ar-SA"/>
              </w:rPr>
              <w:t>山丹县水务局</w:t>
            </w:r>
          </w:p>
        </w:tc>
        <w:tc>
          <w:tcPr>
            <w:tcW w:w="1967"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资金性质</w:t>
            </w:r>
          </w:p>
        </w:tc>
        <w:tc>
          <w:tcPr>
            <w:tcW w:w="25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val="0"/>
                <w:snapToGrid/>
                <w:color w:val="auto"/>
                <w:kern w:val="2"/>
                <w:sz w:val="28"/>
                <w:szCs w:val="28"/>
                <w:highlight w:val="none"/>
                <w:lang w:val="en-US" w:eastAsia="zh-CN" w:bidi="ar-SA"/>
              </w:rPr>
            </w:pPr>
            <w:r>
              <w:rPr>
                <w:rFonts w:hint="eastAsia" w:ascii="仿宋" w:hAnsi="仿宋" w:eastAsia="仿宋" w:cs="仿宋"/>
                <w:b w:val="0"/>
                <w:bCs w:val="0"/>
                <w:snapToGrid/>
                <w:color w:val="auto"/>
                <w:kern w:val="2"/>
                <w:sz w:val="28"/>
                <w:szCs w:val="28"/>
                <w:highlight w:val="none"/>
                <w:lang w:val="en-US" w:eastAsia="zh-CN" w:bidi="ar-SA"/>
              </w:rPr>
              <w:t>政府债务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580" w:hRule="atLeast"/>
          <w:jc w:val="center"/>
        </w:trPr>
        <w:tc>
          <w:tcPr>
            <w:tcW w:w="1084" w:type="dxa"/>
            <w:tcBorders>
              <w:tl2br w:val="nil"/>
              <w:tr2bl w:val="nil"/>
            </w:tcBorders>
            <w:noWrap w:val="0"/>
            <w:textDirection w:val="tbRlV"/>
            <w:vAlign w:val="center"/>
          </w:tcPr>
          <w:p>
            <w:pPr>
              <w:pStyle w:val="9"/>
              <w:spacing w:before="227" w:line="202" w:lineRule="auto"/>
              <w:ind w:left="447"/>
              <w:jc w:val="center"/>
              <w:rPr>
                <w:rFonts w:hint="eastAsia" w:ascii="仿宋" w:hAnsi="仿宋" w:eastAsia="仿宋" w:cs="仿宋"/>
                <w:color w:val="auto"/>
                <w:sz w:val="28"/>
                <w:szCs w:val="28"/>
              </w:rPr>
            </w:pPr>
            <w:r>
              <w:rPr>
                <w:rFonts w:hint="eastAsia" w:ascii="仿宋" w:hAnsi="仿宋" w:eastAsia="仿宋" w:cs="仿宋"/>
                <w:b/>
                <w:bCs/>
                <w:snapToGrid/>
                <w:color w:val="auto"/>
                <w:kern w:val="2"/>
                <w:sz w:val="28"/>
                <w:szCs w:val="28"/>
                <w:highlight w:val="none"/>
                <w:lang w:val="en-US" w:eastAsia="zh-CN" w:bidi="ar-SA"/>
              </w:rPr>
              <w:t>评 价 目 的</w:t>
            </w:r>
          </w:p>
        </w:tc>
        <w:tc>
          <w:tcPr>
            <w:tcW w:w="8723" w:type="dxa"/>
            <w:gridSpan w:val="5"/>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snapToGrid/>
                <w:color w:val="auto"/>
                <w:kern w:val="2"/>
                <w:sz w:val="28"/>
                <w:szCs w:val="28"/>
                <w:highlight w:val="none"/>
                <w:lang w:val="en-US" w:eastAsia="zh-CN" w:bidi="ar-SA"/>
              </w:rPr>
              <w:t>运用科学、规范、合理的评价方法、评价指标体系和评价标准，全面、真实、客观地对山丹县霍城河灌区节水改造工程项目立项、绩效目标、资金投入、资金管理、过程管理、绩效管理、产出数量、产出质量、产出时效、产出成本、经济效益、社会效益、生态效益、可持续影响以及受益对象满意度进行综合评价，全面反映项目专项债券资金投入与使用的规范性、合理性，专项债券偿还、项目实施管理规范性以及项目实施后的效益发挥情况。发现项目在实施过程中存在的问题及原因，从而提出切实可行的意见或建议；总结项目管理与执行经验，为相关部门决策、管理提供参考依据，推动建立以绩效评价结果为导向的财政资金分配与管理制度，提升财政资金科学化、精细化管理水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84" w:type="dxa"/>
            <w:vMerge w:val="restart"/>
            <w:tcBorders>
              <w:tl2br w:val="nil"/>
              <w:tr2bl w:val="nil"/>
            </w:tcBorders>
            <w:noWrap w:val="0"/>
            <w:textDirection w:val="tbRlV"/>
            <w:vAlign w:val="center"/>
          </w:tcPr>
          <w:p>
            <w:pPr>
              <w:pStyle w:val="9"/>
              <w:jc w:val="center"/>
              <w:rPr>
                <w:rFonts w:hint="eastAsia" w:ascii="仿宋" w:hAnsi="仿宋" w:eastAsia="仿宋" w:cs="仿宋"/>
                <w:b/>
                <w:bCs/>
                <w:snapToGrid/>
                <w:color w:val="auto"/>
                <w:kern w:val="2"/>
                <w:sz w:val="28"/>
                <w:szCs w:val="28"/>
                <w:lang w:eastAsia="zh-CN"/>
              </w:rPr>
            </w:pPr>
            <w:r>
              <w:rPr>
                <w:rFonts w:hint="eastAsia" w:ascii="仿宋" w:hAnsi="仿宋" w:eastAsia="仿宋" w:cs="仿宋"/>
                <w:b/>
                <w:bCs/>
                <w:snapToGrid/>
                <w:color w:val="auto"/>
                <w:kern w:val="2"/>
                <w:sz w:val="28"/>
                <w:szCs w:val="28"/>
                <w:lang w:eastAsia="zh-CN"/>
              </w:rPr>
              <w:t>（万元）</w:t>
            </w:r>
          </w:p>
          <w:p>
            <w:pPr>
              <w:pStyle w:val="9"/>
              <w:jc w:val="center"/>
              <w:rPr>
                <w:rFonts w:hint="eastAsia" w:ascii="仿宋" w:hAnsi="仿宋" w:eastAsia="仿宋" w:cs="仿宋"/>
                <w:color w:val="auto"/>
                <w:sz w:val="28"/>
                <w:szCs w:val="28"/>
                <w:lang w:val="en-US" w:eastAsia="zh-CN"/>
              </w:rPr>
            </w:pPr>
            <w:r>
              <w:rPr>
                <w:rFonts w:hint="eastAsia" w:ascii="仿宋" w:hAnsi="仿宋" w:eastAsia="仿宋" w:cs="仿宋"/>
                <w:b/>
                <w:bCs/>
                <w:snapToGrid/>
                <w:color w:val="auto"/>
                <w:kern w:val="2"/>
                <w:sz w:val="28"/>
                <w:szCs w:val="28"/>
                <w:lang w:eastAsia="zh-CN"/>
              </w:rPr>
              <w:t>资金情况</w:t>
            </w:r>
          </w:p>
        </w:tc>
        <w:tc>
          <w:tcPr>
            <w:tcW w:w="2095" w:type="dxa"/>
            <w:tcBorders>
              <w:tl2br w:val="nil"/>
              <w:tr2bl w:val="nil"/>
            </w:tcBorders>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仿宋" w:hAnsi="仿宋" w:eastAsia="仿宋" w:cs="仿宋"/>
                <w:b/>
                <w:bCs/>
                <w:snapToGrid/>
                <w:color w:val="auto"/>
                <w:kern w:val="2"/>
                <w:sz w:val="28"/>
                <w:szCs w:val="28"/>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default"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预算安排资金</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仿宋" w:hAnsi="仿宋" w:eastAsia="仿宋" w:cs="仿宋"/>
                <w:b/>
                <w:bCs/>
                <w:snapToGrid/>
                <w:color w:val="auto"/>
                <w:kern w:val="2"/>
                <w:sz w:val="28"/>
                <w:szCs w:val="28"/>
                <w:highlight w:val="none"/>
                <w:lang w:val="en-US" w:eastAsia="zh-CN" w:bidi="ar-SA"/>
              </w:rPr>
            </w:pPr>
          </w:p>
        </w:tc>
        <w:tc>
          <w:tcPr>
            <w:tcW w:w="2439" w:type="dxa"/>
            <w:gridSpan w:val="2"/>
            <w:tcBorders>
              <w:tl2br w:val="nil"/>
              <w:tr2bl w:val="nil"/>
            </w:tcBorders>
            <w:shd w:val="clear" w:color="auto" w:fill="auto"/>
            <w:noWrap w:val="0"/>
            <w:vAlign w:val="center"/>
          </w:tcPr>
          <w:p>
            <w:pPr>
              <w:keepNext w:val="0"/>
              <w:keepLines w:val="0"/>
              <w:pageBreakBefore w:val="0"/>
              <w:tabs>
                <w:tab w:val="left" w:pos="2496"/>
              </w:tabs>
              <w:wordWrap/>
              <w:overflowPunct/>
              <w:topLinePunct w:val="0"/>
              <w:bidi w:val="0"/>
              <w:adjustRightInd w:val="0"/>
              <w:snapToGrid w:val="0"/>
              <w:spacing w:line="240" w:lineRule="auto"/>
              <w:ind w:left="0"/>
              <w:jc w:val="center"/>
              <w:rPr>
                <w:rFonts w:hint="default" w:ascii="仿宋" w:hAnsi="仿宋" w:eastAsia="仿宋" w:cs="仿宋"/>
                <w:snapToGrid w:val="0"/>
                <w:color w:val="auto"/>
                <w:kern w:val="0"/>
                <w:sz w:val="28"/>
                <w:szCs w:val="28"/>
                <w:lang w:val="en-US" w:eastAsia="zh-CN" w:bidi="ar-SA"/>
              </w:rPr>
            </w:pPr>
            <w:r>
              <w:rPr>
                <w:rFonts w:hint="eastAsia" w:ascii="仿宋" w:hAnsi="仿宋" w:eastAsia="仿宋" w:cs="仿宋"/>
                <w:b w:val="0"/>
                <w:bCs/>
                <w:color w:val="auto"/>
                <w:sz w:val="28"/>
                <w:szCs w:val="28"/>
                <w:highlight w:val="none"/>
                <w:lang w:val="en-US" w:eastAsia="zh-CN"/>
              </w:rPr>
              <w:t>5,000.00</w:t>
            </w:r>
          </w:p>
        </w:tc>
        <w:tc>
          <w:tcPr>
            <w:tcW w:w="1618" w:type="dxa"/>
            <w:tcBorders>
              <w:tl2br w:val="nil"/>
              <w:tr2bl w:val="nil"/>
            </w:tcBorders>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仿宋" w:hAnsi="仿宋" w:eastAsia="仿宋" w:cs="仿宋"/>
                <w:b/>
                <w:bCs/>
                <w:snapToGrid/>
                <w:color w:val="auto"/>
                <w:kern w:val="2"/>
                <w:sz w:val="28"/>
                <w:szCs w:val="28"/>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调整预算数</w:t>
            </w:r>
          </w:p>
        </w:tc>
        <w:tc>
          <w:tcPr>
            <w:tcW w:w="2571" w:type="dxa"/>
            <w:tcBorders>
              <w:tl2br w:val="nil"/>
              <w:tr2bl w:val="nil"/>
            </w:tcBorders>
            <w:shd w:val="clear" w:color="auto" w:fill="auto"/>
            <w:noWrap w:val="0"/>
            <w:vAlign w:val="center"/>
          </w:tcPr>
          <w:p>
            <w:pPr>
              <w:keepNext w:val="0"/>
              <w:keepLines w:val="0"/>
              <w:pageBreakBefore w:val="0"/>
              <w:widowControl/>
              <w:suppressLineNumbers w:val="0"/>
              <w:wordWrap/>
              <w:overflowPunct/>
              <w:topLinePunct w:val="0"/>
              <w:bidi w:val="0"/>
              <w:adjustRightInd w:val="0"/>
              <w:snapToGrid w:val="0"/>
              <w:spacing w:line="240" w:lineRule="auto"/>
              <w:ind w:left="0"/>
              <w:jc w:val="center"/>
              <w:rPr>
                <w:rFonts w:hint="eastAsia" w:ascii="仿宋" w:hAnsi="仿宋" w:eastAsia="仿宋" w:cs="仿宋"/>
                <w:snapToGrid w:val="0"/>
                <w:color w:val="auto"/>
                <w:kern w:val="0"/>
                <w:sz w:val="28"/>
                <w:szCs w:val="28"/>
                <w:lang w:val="en-US" w:eastAsia="zh-CN" w:bidi="ar"/>
              </w:rPr>
            </w:pPr>
            <w:r>
              <w:rPr>
                <w:rFonts w:hint="eastAsia" w:ascii="仿宋" w:hAnsi="仿宋" w:eastAsia="仿宋" w:cs="仿宋"/>
                <w:snapToGrid/>
                <w:color w:val="auto"/>
                <w:kern w:val="2"/>
                <w:sz w:val="28"/>
                <w:szCs w:val="28"/>
                <w:highlight w:val="none"/>
                <w:lang w:val="en-US"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084" w:type="dxa"/>
            <w:vMerge w:val="continue"/>
            <w:tcBorders>
              <w:tl2br w:val="nil"/>
              <w:tr2bl w:val="nil"/>
            </w:tcBorders>
            <w:noWrap w:val="0"/>
            <w:textDirection w:val="tbRlV"/>
            <w:vAlign w:val="top"/>
          </w:tcPr>
          <w:p>
            <w:pPr>
              <w:pStyle w:val="9"/>
              <w:keepNext w:val="0"/>
              <w:keepLines w:val="0"/>
              <w:pageBreakBefore w:val="0"/>
              <w:wordWrap/>
              <w:overflowPunct/>
              <w:topLinePunct w:val="0"/>
              <w:bidi w:val="0"/>
              <w:adjustRightInd w:val="0"/>
              <w:snapToGrid w:val="0"/>
              <w:spacing w:line="240" w:lineRule="auto"/>
              <w:ind w:left="0"/>
              <w:jc w:val="center"/>
              <w:rPr>
                <w:rFonts w:hint="eastAsia" w:ascii="仿宋" w:hAnsi="仿宋" w:eastAsia="仿宋" w:cs="仿宋"/>
                <w:color w:val="auto"/>
                <w:sz w:val="28"/>
                <w:szCs w:val="28"/>
                <w:lang w:val="en-US" w:eastAsia="zh-CN"/>
              </w:rPr>
            </w:pPr>
          </w:p>
        </w:tc>
        <w:tc>
          <w:tcPr>
            <w:tcW w:w="2095"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实际执行数</w:t>
            </w:r>
          </w:p>
        </w:tc>
        <w:tc>
          <w:tcPr>
            <w:tcW w:w="2439" w:type="dxa"/>
            <w:gridSpan w:val="2"/>
            <w:tcBorders>
              <w:tl2br w:val="nil"/>
              <w:tr2bl w:val="nil"/>
            </w:tcBorders>
            <w:shd w:val="clear" w:color="auto" w:fill="auto"/>
            <w:noWrap w:val="0"/>
            <w:vAlign w:val="center"/>
          </w:tcPr>
          <w:p>
            <w:pPr>
              <w:keepNext w:val="0"/>
              <w:keepLines w:val="0"/>
              <w:pageBreakBefore w:val="0"/>
              <w:tabs>
                <w:tab w:val="left" w:pos="2496"/>
              </w:tabs>
              <w:wordWrap/>
              <w:overflowPunct/>
              <w:topLinePunct w:val="0"/>
              <w:bidi w:val="0"/>
              <w:adjustRightInd w:val="0"/>
              <w:snapToGrid w:val="0"/>
              <w:spacing w:line="240" w:lineRule="auto"/>
              <w:ind w:left="0"/>
              <w:jc w:val="center"/>
              <w:rPr>
                <w:rFonts w:hint="default" w:ascii="仿宋" w:hAnsi="仿宋" w:eastAsia="仿宋" w:cs="仿宋"/>
                <w:snapToGrid w:val="0"/>
                <w:color w:val="auto"/>
                <w:kern w:val="0"/>
                <w:sz w:val="28"/>
                <w:szCs w:val="28"/>
                <w:lang w:val="en-US" w:eastAsia="zh-CN" w:bidi="ar-SA"/>
              </w:rPr>
            </w:pPr>
            <w:r>
              <w:rPr>
                <w:rFonts w:hint="eastAsia" w:ascii="仿宋" w:hAnsi="仿宋" w:eastAsia="仿宋" w:cs="仿宋"/>
                <w:b w:val="0"/>
                <w:bCs/>
                <w:color w:val="auto"/>
                <w:sz w:val="28"/>
                <w:szCs w:val="28"/>
                <w:highlight w:val="none"/>
                <w:lang w:val="en-US" w:eastAsia="zh-CN"/>
              </w:rPr>
              <w:t>5,000.00</w:t>
            </w:r>
          </w:p>
        </w:tc>
        <w:tc>
          <w:tcPr>
            <w:tcW w:w="1618"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执行率</w:t>
            </w:r>
          </w:p>
        </w:tc>
        <w:tc>
          <w:tcPr>
            <w:tcW w:w="2571" w:type="dxa"/>
            <w:tcBorders>
              <w:tl2br w:val="nil"/>
              <w:tr2bl w:val="nil"/>
            </w:tcBorders>
            <w:shd w:val="clear" w:color="auto" w:fill="auto"/>
            <w:noWrap w:val="0"/>
            <w:vAlign w:val="center"/>
          </w:tcPr>
          <w:p>
            <w:pPr>
              <w:keepNext w:val="0"/>
              <w:keepLines w:val="0"/>
              <w:pageBreakBefore w:val="0"/>
              <w:widowControl/>
              <w:suppressLineNumbers w:val="0"/>
              <w:wordWrap/>
              <w:overflowPunct/>
              <w:topLinePunct w:val="0"/>
              <w:bidi w:val="0"/>
              <w:adjustRightInd w:val="0"/>
              <w:snapToGrid w:val="0"/>
              <w:spacing w:line="240" w:lineRule="auto"/>
              <w:ind w:left="0"/>
              <w:jc w:val="center"/>
              <w:rPr>
                <w:rFonts w:hint="eastAsia" w:ascii="仿宋" w:hAnsi="仿宋" w:eastAsia="仿宋" w:cs="仿宋"/>
                <w:snapToGrid w:val="0"/>
                <w:color w:val="auto"/>
                <w:kern w:val="0"/>
                <w:sz w:val="28"/>
                <w:szCs w:val="28"/>
                <w:lang w:val="en-US" w:eastAsia="zh-CN" w:bidi="ar"/>
              </w:rPr>
            </w:pPr>
            <w:r>
              <w:rPr>
                <w:rFonts w:hint="eastAsia" w:ascii="仿宋" w:hAnsi="仿宋" w:eastAsia="仿宋" w:cs="仿宋"/>
                <w:color w:val="auto"/>
                <w:sz w:val="28"/>
                <w:szCs w:val="28"/>
                <w:lang w:val="en-US" w:eastAsia="zh-CN"/>
              </w:rPr>
              <w:t>100.00</w:t>
            </w:r>
            <w:r>
              <w:rPr>
                <w:rFonts w:hint="eastAsia" w:ascii="仿宋" w:hAnsi="仿宋" w:eastAsia="仿宋" w:cs="仿宋"/>
                <w:color w:val="auto"/>
                <w:sz w:val="28"/>
                <w:szCs w:val="28"/>
              </w:rPr>
              <w:t>%</w:t>
            </w:r>
          </w:p>
        </w:tc>
      </w:tr>
    </w:tbl>
    <w:p>
      <w:pPr>
        <w:keepNext w:val="0"/>
        <w:keepLines w:val="0"/>
        <w:pageBreakBefore w:val="0"/>
        <w:widowControl/>
        <w:suppressLineNumbers w:val="0"/>
        <w:pBdr>
          <w:top w:val="none" w:color="000000" w:sz="0" w:space="0"/>
        </w:pBdr>
        <w:kinsoku/>
        <w:wordWrap/>
        <w:overflowPunct/>
        <w:topLinePunct w:val="0"/>
        <w:autoSpaceDE/>
        <w:autoSpaceDN/>
        <w:bidi w:val="0"/>
        <w:adjustRightInd w:val="0"/>
        <w:snapToGrid w:val="0"/>
        <w:spacing w:before="0" w:line="240" w:lineRule="auto"/>
        <w:jc w:val="both"/>
        <w:textAlignment w:val="center"/>
        <w:rPr>
          <w:rFonts w:hint="eastAsia" w:ascii="仿宋" w:hAnsi="仿宋" w:eastAsia="仿宋" w:cs="仿宋"/>
          <w:b/>
          <w:bCs/>
          <w:snapToGrid/>
          <w:color w:val="7030A0"/>
          <w:kern w:val="2"/>
          <w:sz w:val="28"/>
          <w:szCs w:val="28"/>
          <w:highlight w:val="none"/>
          <w:lang w:val="en-US" w:eastAsia="zh-CN"/>
        </w:rPr>
      </w:pPr>
    </w:p>
    <w:p>
      <w:pPr>
        <w:keepNext w:val="0"/>
        <w:keepLines w:val="0"/>
        <w:pageBreakBefore w:val="0"/>
        <w:widowControl/>
        <w:suppressLineNumbers w:val="0"/>
        <w:pBdr>
          <w:top w:val="none" w:color="000000" w:sz="0" w:space="0"/>
        </w:pBdr>
        <w:kinsoku/>
        <w:wordWrap/>
        <w:overflowPunct/>
        <w:topLinePunct w:val="0"/>
        <w:autoSpaceDE/>
        <w:autoSpaceDN/>
        <w:bidi w:val="0"/>
        <w:adjustRightInd w:val="0"/>
        <w:snapToGrid w:val="0"/>
        <w:spacing w:before="0" w:line="240" w:lineRule="auto"/>
        <w:jc w:val="center"/>
        <w:textAlignment w:val="center"/>
        <w:rPr>
          <w:rFonts w:hint="eastAsia" w:ascii="仿宋" w:hAnsi="仿宋" w:eastAsia="仿宋" w:cs="仿宋"/>
          <w:b/>
          <w:bCs/>
          <w:snapToGrid/>
          <w:color w:val="auto"/>
          <w:kern w:val="2"/>
          <w:sz w:val="28"/>
          <w:szCs w:val="28"/>
          <w:highlight w:val="none"/>
          <w:lang w:val="en-US" w:eastAsia="zh-CN"/>
        </w:rPr>
      </w:pPr>
      <w:r>
        <w:rPr>
          <w:rFonts w:hint="eastAsia" w:ascii="仿宋" w:hAnsi="仿宋" w:eastAsia="仿宋" w:cs="仿宋"/>
          <w:b/>
          <w:bCs/>
          <w:snapToGrid/>
          <w:color w:val="auto"/>
          <w:kern w:val="2"/>
          <w:sz w:val="28"/>
          <w:szCs w:val="28"/>
          <w:highlight w:val="none"/>
          <w:lang w:val="en-US" w:eastAsia="zh-CN"/>
        </w:rPr>
        <w:t>二、部门绩效目标</w:t>
      </w:r>
    </w:p>
    <w:tbl>
      <w:tblPr>
        <w:tblStyle w:val="10"/>
        <w:tblpPr w:leftFromText="180" w:rightFromText="180" w:vertAnchor="text" w:horzAnchor="page" w:tblpX="1056" w:tblpY="348"/>
        <w:tblOverlap w:val="never"/>
        <w:tblW w:w="9785" w:type="dxa"/>
        <w:tblInd w:w="0"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375"/>
        <w:gridCol w:w="7410"/>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85" w:hRule="atLeast"/>
        </w:trPr>
        <w:tc>
          <w:tcPr>
            <w:tcW w:w="2375" w:type="dxa"/>
            <w:tcBorders>
              <w:tl2br w:val="nil"/>
              <w:tr2bl w:val="nil"/>
            </w:tcBorders>
            <w:noWrap w:val="0"/>
            <w:vAlign w:val="center"/>
          </w:tcPr>
          <w:p>
            <w:pPr>
              <w:pStyle w:val="9"/>
              <w:keepNext w:val="0"/>
              <w:keepLines w:val="0"/>
              <w:pageBreakBefore w:val="0"/>
              <w:wordWrap/>
              <w:overflowPunct/>
              <w:topLinePunct w:val="0"/>
              <w:bidi w:val="0"/>
              <w:adjustRightInd w:val="0"/>
              <w:snapToGrid w:val="0"/>
              <w:spacing w:line="560" w:lineRule="exact"/>
              <w:ind w:left="0" w:right="0"/>
              <w:jc w:val="center"/>
              <w:rPr>
                <w:rFonts w:hint="eastAsia" w:ascii="仿宋" w:hAnsi="仿宋" w:eastAsia="仿宋" w:cs="仿宋"/>
                <w:color w:val="auto"/>
                <w:sz w:val="28"/>
                <w:szCs w:val="28"/>
              </w:rPr>
            </w:pPr>
            <w:r>
              <w:rPr>
                <w:rFonts w:hint="eastAsia" w:ascii="仿宋" w:hAnsi="仿宋" w:eastAsia="仿宋" w:cs="仿宋"/>
                <w:b/>
                <w:bCs/>
                <w:snapToGrid/>
                <w:color w:val="auto"/>
                <w:kern w:val="2"/>
                <w:sz w:val="28"/>
                <w:szCs w:val="28"/>
                <w:highlight w:val="none"/>
                <w:lang w:val="en-US" w:eastAsia="zh-CN" w:bidi="ar-SA"/>
              </w:rPr>
              <w:t>年度绩效目标</w:t>
            </w:r>
          </w:p>
        </w:tc>
        <w:tc>
          <w:tcPr>
            <w:tcW w:w="7410"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left"/>
              <w:textAlignment w:val="baseline"/>
              <w:rPr>
                <w:rFonts w:hint="eastAsia" w:ascii="仿宋" w:hAnsi="仿宋" w:eastAsia="仿宋" w:cs="仿宋"/>
                <w:snapToGrid/>
                <w:color w:val="auto"/>
                <w:kern w:val="2"/>
                <w:sz w:val="28"/>
                <w:szCs w:val="28"/>
                <w:highlight w:val="none"/>
                <w:lang w:val="en-US" w:eastAsia="zh-CN"/>
              </w:rPr>
            </w:pPr>
            <w:r>
              <w:rPr>
                <w:rFonts w:hint="eastAsia" w:ascii="仿宋" w:hAnsi="仿宋" w:eastAsia="仿宋" w:cs="仿宋"/>
                <w:snapToGrid/>
                <w:color w:val="auto"/>
                <w:kern w:val="2"/>
                <w:sz w:val="28"/>
                <w:szCs w:val="28"/>
                <w:highlight w:val="none"/>
                <w:lang w:val="en-US" w:eastAsia="zh-CN"/>
              </w:rPr>
              <w:t>目标1：维修加固东关塘坝、东山塘坝和牛家崖塘坝的库区清淤泥沙、坝体填筑及碾压、干砌石砌筑及溢洪道修建。</w:t>
            </w: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snapToGrid/>
                <w:color w:val="auto"/>
                <w:kern w:val="2"/>
                <w:sz w:val="28"/>
                <w:szCs w:val="28"/>
                <w:highlight w:val="none"/>
                <w:lang w:val="en-US" w:eastAsia="zh-CN"/>
              </w:rPr>
              <w:t>目标2：将10条原渠改建为钢筋砼管道，共计51.57km；6条原渠改建为衬砌渠，共计12.306km；改建花塘子支渠1.367km为U型渠；共计完成渠道改建17条，共65.243km，各类建筑物294座。</w:t>
            </w:r>
          </w:p>
        </w:tc>
      </w:tr>
    </w:tbl>
    <w:p>
      <w:pPr>
        <w:keepNext w:val="0"/>
        <w:keepLines w:val="0"/>
        <w:pageBreakBefore w:val="0"/>
        <w:widowControl/>
        <w:suppressLineNumbers w:val="0"/>
        <w:pBdr>
          <w:top w:val="none" w:color="000000" w:sz="0" w:space="0"/>
        </w:pBdr>
        <w:kinsoku/>
        <w:wordWrap/>
        <w:overflowPunct/>
        <w:topLinePunct w:val="0"/>
        <w:autoSpaceDE/>
        <w:autoSpaceDN/>
        <w:bidi w:val="0"/>
        <w:adjustRightInd w:val="0"/>
        <w:snapToGrid w:val="0"/>
        <w:spacing w:before="0" w:beforeLines="80" w:after="0" w:afterLines="80" w:line="560" w:lineRule="exact"/>
        <w:jc w:val="center"/>
        <w:textAlignment w:val="center"/>
        <w:rPr>
          <w:rFonts w:hint="eastAsia"/>
          <w:color w:val="auto"/>
          <w:sz w:val="28"/>
          <w:szCs w:val="28"/>
          <w:lang w:val="en-US" w:eastAsia="zh-CN"/>
        </w:rPr>
      </w:pPr>
      <w:r>
        <w:rPr>
          <w:rFonts w:hint="eastAsia" w:ascii="仿宋" w:hAnsi="仿宋" w:eastAsia="仿宋" w:cs="仿宋"/>
          <w:b/>
          <w:bCs/>
          <w:snapToGrid/>
          <w:color w:val="auto"/>
          <w:kern w:val="2"/>
          <w:sz w:val="28"/>
          <w:szCs w:val="28"/>
          <w:highlight w:val="none"/>
          <w:lang w:val="en-US" w:eastAsia="zh-CN"/>
        </w:rPr>
        <w:t>三、评价基本情况</w:t>
      </w:r>
    </w:p>
    <w:tbl>
      <w:tblPr>
        <w:tblStyle w:val="10"/>
        <w:tblW w:w="1002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584"/>
        <w:gridCol w:w="74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35" w:hRule="atLeast"/>
          <w:jc w:val="center"/>
        </w:trPr>
        <w:tc>
          <w:tcPr>
            <w:tcW w:w="2584"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仿宋" w:hAnsi="仿宋" w:eastAsia="仿宋" w:cs="仿宋"/>
                <w:color w:val="auto"/>
                <w:sz w:val="28"/>
                <w:szCs w:val="28"/>
              </w:rPr>
            </w:pPr>
            <w:r>
              <w:rPr>
                <w:rFonts w:hint="eastAsia" w:ascii="仿宋" w:hAnsi="仿宋" w:eastAsia="仿宋" w:cs="仿宋"/>
                <w:b/>
                <w:bCs/>
                <w:snapToGrid/>
                <w:color w:val="auto"/>
                <w:kern w:val="2"/>
                <w:sz w:val="28"/>
                <w:szCs w:val="28"/>
                <w:highlight w:val="none"/>
                <w:lang w:val="en-US" w:eastAsia="zh-CN" w:bidi="ar-SA"/>
              </w:rPr>
              <w:t>评价范围</w:t>
            </w:r>
          </w:p>
        </w:tc>
        <w:tc>
          <w:tcPr>
            <w:tcW w:w="743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 w:hAnsi="仿宋" w:eastAsia="仿宋" w:cs="仿宋"/>
                <w:snapToGrid/>
                <w:color w:val="auto"/>
                <w:kern w:val="2"/>
                <w:sz w:val="28"/>
                <w:szCs w:val="28"/>
                <w:highlight w:val="none"/>
                <w:lang w:val="en-US" w:eastAsia="zh-CN"/>
              </w:rPr>
            </w:pPr>
            <w:r>
              <w:rPr>
                <w:rFonts w:hint="eastAsia" w:ascii="仿宋" w:hAnsi="仿宋" w:eastAsia="仿宋" w:cs="仿宋"/>
                <w:snapToGrid/>
                <w:color w:val="auto"/>
                <w:kern w:val="2"/>
                <w:sz w:val="28"/>
                <w:szCs w:val="28"/>
                <w:highlight w:val="none"/>
                <w:lang w:val="en-US" w:eastAsia="zh-CN"/>
              </w:rPr>
              <w:t>对山丹县霍城河灌区节水改造工程项目（政府专项债券项目）进行绩效评价，涵盖资金5,000.00万元。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center"/>
              <w:rPr>
                <w:rFonts w:hint="eastAsia" w:ascii="仿宋" w:hAnsi="仿宋" w:eastAsia="仿宋" w:cs="仿宋"/>
                <w:snapToGrid/>
                <w:color w:val="auto"/>
                <w:kern w:val="2"/>
                <w:sz w:val="28"/>
                <w:szCs w:val="28"/>
                <w:highlight w:val="yellow"/>
                <w:lang w:val="en-US" w:eastAsia="zh-CN"/>
              </w:rPr>
            </w:pPr>
            <w:r>
              <w:rPr>
                <w:rFonts w:hint="eastAsia" w:ascii="仿宋" w:hAnsi="仿宋" w:eastAsia="仿宋" w:cs="仿宋"/>
                <w:snapToGrid/>
                <w:color w:val="auto"/>
                <w:kern w:val="2"/>
                <w:sz w:val="28"/>
                <w:szCs w:val="28"/>
                <w:highlight w:val="none"/>
                <w:lang w:val="en-US" w:eastAsia="zh-CN"/>
              </w:rPr>
              <w:t>（2022年10月26日-2023年6月30日）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3821" w:hRule="atLeast"/>
          <w:jc w:val="center"/>
        </w:trPr>
        <w:tc>
          <w:tcPr>
            <w:tcW w:w="2584" w:type="dxa"/>
            <w:tcBorders>
              <w:tl2br w:val="nil"/>
              <w:tr2bl w:val="nil"/>
            </w:tcBorders>
            <w:noWrap w:val="0"/>
            <w:vAlign w:val="center"/>
          </w:tcPr>
          <w:p>
            <w:pPr>
              <w:pStyle w:val="9"/>
              <w:keepNext w:val="0"/>
              <w:keepLines w:val="0"/>
              <w:pageBreakBefore w:val="0"/>
              <w:wordWrap/>
              <w:overflowPunct/>
              <w:topLinePunct w:val="0"/>
              <w:bidi w:val="0"/>
              <w:snapToGrid w:val="0"/>
              <w:spacing w:line="560" w:lineRule="exact"/>
              <w:ind w:left="0" w:right="0" w:firstLine="1124" w:firstLineChars="400"/>
              <w:jc w:val="both"/>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评</w:t>
            </w:r>
          </w:p>
          <w:p>
            <w:pPr>
              <w:pStyle w:val="9"/>
              <w:keepNext w:val="0"/>
              <w:keepLines w:val="0"/>
              <w:pageBreakBefore w:val="0"/>
              <w:wordWrap/>
              <w:overflowPunct/>
              <w:topLinePunct w:val="0"/>
              <w:bidi w:val="0"/>
              <w:snapToGrid w:val="0"/>
              <w:spacing w:line="560" w:lineRule="exact"/>
              <w:ind w:left="0" w:right="0"/>
              <w:jc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价</w:t>
            </w:r>
          </w:p>
          <w:p>
            <w:pPr>
              <w:pStyle w:val="9"/>
              <w:keepNext w:val="0"/>
              <w:keepLines w:val="0"/>
              <w:pageBreakBefore w:val="0"/>
              <w:wordWrap/>
              <w:overflowPunct/>
              <w:topLinePunct w:val="0"/>
              <w:bidi w:val="0"/>
              <w:snapToGrid w:val="0"/>
              <w:spacing w:line="560" w:lineRule="exact"/>
              <w:ind w:left="0" w:right="0"/>
              <w:jc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依</w:t>
            </w:r>
          </w:p>
          <w:p>
            <w:pPr>
              <w:pStyle w:val="9"/>
              <w:keepNext w:val="0"/>
              <w:keepLines w:val="0"/>
              <w:pageBreakBefore w:val="0"/>
              <w:wordWrap/>
              <w:overflowPunct/>
              <w:topLinePunct w:val="0"/>
              <w:bidi w:val="0"/>
              <w:snapToGrid w:val="0"/>
              <w:spacing w:line="560" w:lineRule="exact"/>
              <w:ind w:left="0" w:right="0"/>
              <w:jc w:val="center"/>
              <w:rPr>
                <w:rFonts w:hint="eastAsia" w:ascii="仿宋" w:hAnsi="仿宋" w:eastAsia="仿宋" w:cs="仿宋"/>
                <w:color w:val="auto"/>
                <w:sz w:val="28"/>
                <w:szCs w:val="28"/>
              </w:rPr>
            </w:pPr>
            <w:r>
              <w:rPr>
                <w:rFonts w:hint="eastAsia" w:ascii="仿宋" w:hAnsi="仿宋" w:eastAsia="仿宋" w:cs="仿宋"/>
                <w:b/>
                <w:bCs/>
                <w:snapToGrid/>
                <w:color w:val="auto"/>
                <w:kern w:val="2"/>
                <w:sz w:val="28"/>
                <w:szCs w:val="28"/>
                <w:highlight w:val="none"/>
                <w:lang w:val="en-US" w:eastAsia="zh-CN" w:bidi="ar-SA"/>
              </w:rPr>
              <w:t>据</w:t>
            </w:r>
          </w:p>
        </w:tc>
        <w:tc>
          <w:tcPr>
            <w:tcW w:w="743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snapToGrid/>
                <w:color w:val="auto"/>
                <w:kern w:val="2"/>
                <w:sz w:val="28"/>
                <w:szCs w:val="28"/>
                <w:highlight w:val="none"/>
                <w:lang w:val="en-US" w:eastAsia="zh-CN"/>
              </w:rPr>
            </w:pPr>
            <w:r>
              <w:rPr>
                <w:rFonts w:hint="eastAsia" w:ascii="仿宋" w:hAnsi="仿宋" w:eastAsia="仿宋" w:cs="仿宋"/>
                <w:snapToGrid/>
                <w:color w:val="auto"/>
                <w:kern w:val="2"/>
                <w:sz w:val="28"/>
                <w:szCs w:val="28"/>
                <w:highlight w:val="none"/>
                <w:lang w:val="en-US" w:eastAsia="zh-CN"/>
              </w:rPr>
              <w:t>1.《中华人民共和国预算法》；</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 w:hAnsi="仿宋" w:eastAsia="仿宋" w:cs="仿宋"/>
                <w:snapToGrid/>
                <w:color w:val="auto"/>
                <w:kern w:val="2"/>
                <w:sz w:val="28"/>
                <w:szCs w:val="28"/>
                <w:highlight w:val="none"/>
                <w:lang w:val="en-US" w:eastAsia="zh-CN"/>
              </w:rPr>
            </w:pPr>
            <w:r>
              <w:rPr>
                <w:rFonts w:hint="eastAsia" w:ascii="仿宋" w:hAnsi="仿宋" w:eastAsia="仿宋" w:cs="仿宋"/>
                <w:snapToGrid/>
                <w:color w:val="auto"/>
                <w:kern w:val="2"/>
                <w:sz w:val="28"/>
                <w:szCs w:val="28"/>
                <w:highlight w:val="none"/>
                <w:lang w:val="en-US" w:eastAsia="zh-CN"/>
              </w:rPr>
              <w:t>2.《中华人民共和国预算法实施条例》（中华人民共和国国务院令 第729号）；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snapToGrid/>
                <w:color w:val="auto"/>
                <w:kern w:val="2"/>
                <w:sz w:val="28"/>
                <w:szCs w:val="28"/>
                <w:highlight w:val="none"/>
                <w:lang w:val="en-US" w:eastAsia="zh-CN"/>
              </w:rPr>
            </w:pPr>
            <w:r>
              <w:rPr>
                <w:rFonts w:hint="eastAsia" w:ascii="仿宋" w:hAnsi="仿宋" w:eastAsia="仿宋" w:cs="仿宋"/>
                <w:snapToGrid/>
                <w:color w:val="auto"/>
                <w:kern w:val="2"/>
                <w:sz w:val="28"/>
                <w:szCs w:val="28"/>
                <w:highlight w:val="none"/>
                <w:lang w:val="en-US" w:eastAsia="zh-CN"/>
              </w:rPr>
              <w:t>3.《中共中央 国务院关于全面实施预算绩效管理的意见》（中发〔2018〕34号）；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snapToGrid/>
                <w:color w:val="auto"/>
                <w:kern w:val="2"/>
                <w:sz w:val="28"/>
                <w:szCs w:val="28"/>
                <w:highlight w:val="none"/>
                <w:lang w:val="en-US" w:eastAsia="zh-CN"/>
              </w:rPr>
            </w:pPr>
            <w:r>
              <w:rPr>
                <w:rFonts w:hint="eastAsia" w:ascii="仿宋" w:hAnsi="仿宋" w:eastAsia="仿宋" w:cs="仿宋"/>
                <w:snapToGrid/>
                <w:color w:val="auto"/>
                <w:kern w:val="2"/>
                <w:sz w:val="28"/>
                <w:szCs w:val="28"/>
                <w:highlight w:val="none"/>
                <w:lang w:val="en-US" w:eastAsia="zh-CN"/>
              </w:rPr>
              <w:t>4.《财政部关于贯彻落实〈中共中央 国务院关于全面实施预算绩效管理的意见〉的通知》（财预〔2018〕167号）；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snapToGrid/>
                <w:color w:val="auto"/>
                <w:kern w:val="2"/>
                <w:sz w:val="28"/>
                <w:szCs w:val="28"/>
                <w:highlight w:val="none"/>
                <w:lang w:val="en-US" w:eastAsia="zh-CN"/>
              </w:rPr>
            </w:pPr>
            <w:r>
              <w:rPr>
                <w:rFonts w:hint="eastAsia" w:ascii="仿宋" w:hAnsi="仿宋" w:eastAsia="仿宋" w:cs="仿宋"/>
                <w:snapToGrid/>
                <w:color w:val="auto"/>
                <w:kern w:val="2"/>
                <w:sz w:val="28"/>
                <w:szCs w:val="28"/>
                <w:highlight w:val="none"/>
                <w:lang w:val="en-US" w:eastAsia="zh-CN"/>
              </w:rPr>
              <w:t>5.《甘肃省委省政府关于全面实施预算绩效管理的实施意见》（甘发〔2018〕32号）；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 w:hAnsi="仿宋" w:eastAsia="仿宋" w:cs="仿宋"/>
                <w:snapToGrid/>
                <w:color w:val="auto"/>
                <w:kern w:val="2"/>
                <w:sz w:val="28"/>
                <w:szCs w:val="28"/>
                <w:highlight w:val="none"/>
                <w:lang w:val="en-US" w:eastAsia="zh-CN"/>
              </w:rPr>
            </w:pPr>
            <w:r>
              <w:rPr>
                <w:rFonts w:hint="eastAsia" w:ascii="仿宋" w:hAnsi="仿宋" w:eastAsia="仿宋" w:cs="仿宋"/>
                <w:snapToGrid/>
                <w:color w:val="auto"/>
                <w:kern w:val="2"/>
                <w:sz w:val="28"/>
                <w:szCs w:val="28"/>
                <w:highlight w:val="none"/>
                <w:lang w:val="en-US" w:eastAsia="zh-CN"/>
              </w:rPr>
              <w:t>6.《财政部关于印发〈项目支出绩效评价管理办法〉的通知》（财预〔2020〕10号）；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snapToGrid/>
                <w:color w:val="auto"/>
                <w:kern w:val="2"/>
                <w:sz w:val="28"/>
                <w:szCs w:val="28"/>
                <w:highlight w:val="none"/>
                <w:lang w:val="en-US" w:eastAsia="zh-CN"/>
              </w:rPr>
            </w:pPr>
            <w:r>
              <w:rPr>
                <w:rFonts w:hint="eastAsia" w:ascii="仿宋" w:hAnsi="仿宋" w:eastAsia="仿宋" w:cs="仿宋"/>
                <w:snapToGrid/>
                <w:color w:val="auto"/>
                <w:kern w:val="2"/>
                <w:sz w:val="28"/>
                <w:szCs w:val="28"/>
                <w:highlight w:val="none"/>
                <w:lang w:val="en-US" w:eastAsia="zh-CN"/>
              </w:rPr>
              <w:t>7.</w:t>
            </w:r>
            <w:r>
              <w:rPr>
                <w:rFonts w:hint="eastAsia" w:ascii="仿宋" w:hAnsi="仿宋" w:eastAsia="仿宋" w:cs="仿宋"/>
                <w:color w:val="auto"/>
                <w:sz w:val="28"/>
                <w:szCs w:val="28"/>
                <w:highlight w:val="none"/>
                <w:lang w:val="en-US" w:eastAsia="zh-CN"/>
              </w:rPr>
              <w:t>《中共张掖市委 张掖市人民政府〈关于全面实施预算绩效管理〉的实施意见》（市委发〔2019〕19号）；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snapToGrid/>
                <w:color w:val="auto"/>
                <w:kern w:val="2"/>
                <w:sz w:val="28"/>
                <w:szCs w:val="28"/>
                <w:highlight w:val="none"/>
                <w:lang w:val="en-US" w:eastAsia="zh-CN"/>
              </w:rPr>
            </w:pPr>
            <w:r>
              <w:rPr>
                <w:rFonts w:hint="eastAsia" w:ascii="仿宋" w:hAnsi="仿宋" w:eastAsia="仿宋" w:cs="仿宋"/>
                <w:snapToGrid/>
                <w:color w:val="auto"/>
                <w:kern w:val="2"/>
                <w:sz w:val="28"/>
                <w:szCs w:val="28"/>
                <w:highlight w:val="none"/>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山丹县发展和改革局关于山丹县霍城河灌区节水改造工程可行性研究报告的批复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（山改发</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246</w:t>
            </w:r>
            <w:r>
              <w:rPr>
                <w:rFonts w:hint="eastAsia" w:ascii="仿宋" w:hAnsi="仿宋" w:eastAsia="仿宋" w:cs="仿宋"/>
                <w:color w:val="auto"/>
                <w:sz w:val="28"/>
                <w:szCs w:val="28"/>
              </w:rPr>
              <w:t>号</w:t>
            </w:r>
            <w:r>
              <w:rPr>
                <w:rFonts w:hint="eastAsia" w:ascii="仿宋" w:hAnsi="仿宋" w:eastAsia="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snapToGrid/>
                <w:color w:val="auto"/>
                <w:kern w:val="2"/>
                <w:sz w:val="28"/>
                <w:szCs w:val="28"/>
                <w:highlight w:val="none"/>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山丹县财政局关于下达新增专项债券资金</w:t>
            </w:r>
            <w:r>
              <w:rPr>
                <w:rFonts w:hint="eastAsia" w:ascii="仿宋" w:hAnsi="仿宋" w:eastAsia="仿宋" w:cs="仿宋"/>
                <w:color w:val="auto"/>
                <w:sz w:val="28"/>
                <w:szCs w:val="28"/>
              </w:rPr>
              <w:t>的通知》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napToGrid/>
                <w:color w:val="auto"/>
                <w:kern w:val="2"/>
                <w:sz w:val="28"/>
                <w:szCs w:val="28"/>
                <w:highlight w:val="none"/>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山财预</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号）</w:t>
            </w:r>
            <w:r>
              <w:rPr>
                <w:rFonts w:hint="eastAsia" w:ascii="仿宋" w:hAnsi="仿宋" w:eastAsia="仿宋" w:cs="仿宋"/>
                <w:color w:val="auto"/>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snapToGrid/>
                <w:color w:val="auto"/>
                <w:kern w:val="2"/>
                <w:sz w:val="28"/>
                <w:szCs w:val="28"/>
                <w:highlight w:val="none"/>
                <w:lang w:val="en-US" w:eastAsia="zh-CN"/>
              </w:rPr>
            </w:pPr>
            <w:r>
              <w:rPr>
                <w:rFonts w:hint="eastAsia" w:ascii="仿宋" w:hAnsi="仿宋" w:eastAsia="仿宋" w:cs="仿宋"/>
                <w:snapToGrid/>
                <w:color w:val="auto"/>
                <w:kern w:val="2"/>
                <w:sz w:val="28"/>
                <w:szCs w:val="28"/>
                <w:highlight w:val="none"/>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山丹县人民政府关于山丹县霍城河灌区节水改造工程配套资金的批复</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山政函</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1号）</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snapToGrid/>
                <w:color w:val="auto"/>
                <w:kern w:val="2"/>
                <w:sz w:val="28"/>
                <w:szCs w:val="28"/>
                <w:highlight w:val="none"/>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山丹县财政局关于下达第一批专项债券资金</w:t>
            </w:r>
            <w:r>
              <w:rPr>
                <w:rFonts w:hint="eastAsia" w:ascii="仿宋" w:hAnsi="仿宋" w:eastAsia="仿宋" w:cs="仿宋"/>
                <w:color w:val="auto"/>
                <w:sz w:val="28"/>
                <w:szCs w:val="28"/>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iCs w:val="0"/>
                <w:snapToGrid w:val="0"/>
                <w:color w:val="auto"/>
                <w:kern w:val="0"/>
                <w:sz w:val="28"/>
                <w:szCs w:val="28"/>
                <w:u w:val="none"/>
                <w:lang w:val="en-US" w:eastAsia="zh-CN" w:bidi="ar-SA"/>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山财预</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号）</w:t>
            </w:r>
            <w:r>
              <w:rPr>
                <w:rFonts w:hint="eastAsia" w:ascii="仿宋" w:hAnsi="仿宋" w:eastAsia="仿宋" w:cs="仿宋"/>
                <w:color w:val="auto"/>
                <w:sz w:val="28"/>
                <w:szCs w:val="28"/>
                <w:highlight w:val="no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97" w:hRule="atLeast"/>
          <w:jc w:val="center"/>
        </w:trPr>
        <w:tc>
          <w:tcPr>
            <w:tcW w:w="2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绩效评价</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指标体系</w:t>
            </w:r>
          </w:p>
        </w:tc>
        <w:tc>
          <w:tcPr>
            <w:tcW w:w="743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bCs/>
                <w:snapToGrid/>
                <w:color w:val="auto"/>
                <w:kern w:val="2"/>
                <w:sz w:val="28"/>
                <w:szCs w:val="28"/>
                <w:lang w:val="en-US" w:eastAsia="zh-CN" w:bidi="ar-SA"/>
              </w:rPr>
            </w:pPr>
            <w:r>
              <w:rPr>
                <w:rFonts w:hint="eastAsia" w:ascii="仿宋" w:hAnsi="仿宋" w:eastAsia="仿宋" w:cs="仿宋"/>
                <w:bCs/>
                <w:snapToGrid/>
                <w:color w:val="auto"/>
                <w:kern w:val="2"/>
                <w:sz w:val="28"/>
                <w:szCs w:val="28"/>
                <w:lang w:val="en-US" w:eastAsia="zh-CN" w:bidi="ar-SA"/>
              </w:rPr>
              <w:t>按照《项目支出绩效评价管理办法》（财预〔2020〕10号）的有关要求，遵循相关性、重要性、可比性、系统性及经</w:t>
            </w:r>
            <w:r>
              <w:rPr>
                <w:rFonts w:hint="eastAsia" w:ascii="仿宋" w:hAnsi="仿宋" w:eastAsia="仿宋" w:cs="仿宋"/>
                <w:bCs/>
                <w:snapToGrid/>
                <w:color w:val="auto"/>
                <w:kern w:val="2"/>
                <w:sz w:val="28"/>
                <w:szCs w:val="28"/>
                <w:highlight w:val="none"/>
                <w:lang w:val="en-US" w:eastAsia="zh-CN" w:bidi="ar-SA"/>
              </w:rPr>
              <w:t>济性</w:t>
            </w:r>
            <w:r>
              <w:rPr>
                <w:rFonts w:hint="eastAsia" w:ascii="仿宋" w:hAnsi="仿宋" w:eastAsia="仿宋" w:cs="仿宋"/>
                <w:bCs/>
                <w:snapToGrid/>
                <w:color w:val="auto"/>
                <w:kern w:val="2"/>
                <w:sz w:val="28"/>
                <w:szCs w:val="28"/>
                <w:lang w:val="en-US" w:eastAsia="zh-CN" w:bidi="ar-SA"/>
              </w:rPr>
              <w:t>的原则，结合项目的自身特点，此次绩效评价指标体系分别从决策、管理、产出及效益四个方面进行设计。本次绩效评价指标体系由4项一级指标、14项二级指标、33项三级指标组成。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29" w:hRule="atLeast"/>
          <w:jc w:val="center"/>
        </w:trPr>
        <w:tc>
          <w:tcPr>
            <w:tcW w:w="2584"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color w:val="auto"/>
                <w:sz w:val="28"/>
                <w:szCs w:val="28"/>
              </w:rPr>
            </w:pPr>
            <w:r>
              <w:rPr>
                <w:rFonts w:hint="eastAsia" w:ascii="仿宋" w:hAnsi="仿宋" w:eastAsia="仿宋" w:cs="仿宋"/>
                <w:b/>
                <w:bCs/>
                <w:snapToGrid/>
                <w:color w:val="auto"/>
                <w:kern w:val="2"/>
                <w:sz w:val="28"/>
                <w:szCs w:val="28"/>
                <w:highlight w:val="none"/>
                <w:lang w:val="en-US" w:eastAsia="zh-CN" w:bidi="ar-SA"/>
              </w:rPr>
              <w:t>评价办法</w:t>
            </w:r>
          </w:p>
        </w:tc>
        <w:tc>
          <w:tcPr>
            <w:tcW w:w="7439"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jc w:val="left"/>
              <w:textAlignment w:val="baseline"/>
              <w:rPr>
                <w:rFonts w:hint="eastAsia" w:ascii="仿宋" w:hAnsi="仿宋" w:eastAsia="仿宋" w:cs="仿宋"/>
                <w:color w:val="auto"/>
                <w:sz w:val="28"/>
                <w:szCs w:val="28"/>
              </w:rPr>
            </w:pPr>
            <w:r>
              <w:rPr>
                <w:rFonts w:hint="eastAsia" w:ascii="仿宋" w:hAnsi="仿宋" w:eastAsia="仿宋" w:cs="仿宋"/>
                <w:snapToGrid/>
                <w:color w:val="auto"/>
                <w:kern w:val="2"/>
                <w:sz w:val="28"/>
                <w:szCs w:val="28"/>
                <w:highlight w:val="none"/>
                <w:lang w:val="en-US" w:eastAsia="zh-CN" w:bidi="ar-SA"/>
              </w:rPr>
              <w:t>成本效益分析法、比较法、因素分析法、公众评判法。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847" w:hRule="atLeast"/>
          <w:jc w:val="center"/>
        </w:trPr>
        <w:tc>
          <w:tcPr>
            <w:tcW w:w="2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outlineLvl w:val="9"/>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数据采集及</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outlineLvl w:val="9"/>
              <w:rPr>
                <w:rFonts w:hint="eastAsia" w:ascii="仿宋" w:hAnsi="仿宋" w:eastAsia="仿宋" w:cs="仿宋"/>
                <w:snapToGrid w:val="0"/>
                <w:color w:val="auto"/>
                <w:kern w:val="0"/>
                <w:sz w:val="28"/>
                <w:szCs w:val="28"/>
                <w:highlight w:val="none"/>
                <w:lang w:val="en-US" w:eastAsia="zh-CN" w:bidi="ar"/>
              </w:rPr>
            </w:pPr>
            <w:r>
              <w:rPr>
                <w:rFonts w:hint="eastAsia" w:ascii="仿宋" w:hAnsi="仿宋" w:eastAsia="仿宋" w:cs="仿宋"/>
                <w:b/>
                <w:bCs/>
                <w:snapToGrid/>
                <w:color w:val="auto"/>
                <w:kern w:val="2"/>
                <w:sz w:val="28"/>
                <w:szCs w:val="28"/>
                <w:highlight w:val="none"/>
                <w:lang w:val="en-US" w:eastAsia="zh-CN" w:bidi="ar-SA"/>
              </w:rPr>
              <w:t>处理办法</w:t>
            </w:r>
          </w:p>
        </w:tc>
        <w:tc>
          <w:tcPr>
            <w:tcW w:w="743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560" w:firstLineChars="200"/>
              <w:jc w:val="both"/>
              <w:textAlignment w:val="auto"/>
              <w:outlineLvl w:val="9"/>
              <w:rPr>
                <w:rFonts w:hint="eastAsia" w:ascii="仿宋" w:hAnsi="仿宋" w:eastAsia="仿宋" w:cs="仿宋"/>
                <w:snapToGrid w:val="0"/>
                <w:color w:val="auto"/>
                <w:kern w:val="0"/>
                <w:sz w:val="28"/>
                <w:szCs w:val="28"/>
                <w:highlight w:val="none"/>
                <w:lang w:val="en-US" w:eastAsia="en-US" w:bidi="ar"/>
              </w:rPr>
            </w:pPr>
            <w:r>
              <w:rPr>
                <w:rFonts w:hint="eastAsia" w:ascii="仿宋" w:hAnsi="仿宋" w:eastAsia="仿宋" w:cs="仿宋"/>
                <w:snapToGrid/>
                <w:color w:val="auto"/>
                <w:kern w:val="2"/>
                <w:sz w:val="28"/>
                <w:szCs w:val="28"/>
                <w:highlight w:val="none"/>
                <w:lang w:val="en-US" w:eastAsia="en-US" w:bidi="ar-SA"/>
              </w:rPr>
              <w:t>信息与数据收集采取非现场评价和现场评价等方式进行，数据处理采取科学合理的方法，对整理的资料进行数据提取、筛选及分析。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20" w:hRule="atLeast"/>
          <w:jc w:val="center"/>
        </w:trPr>
        <w:tc>
          <w:tcPr>
            <w:tcW w:w="2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jc w:val="center"/>
              <w:textAlignment w:val="center"/>
              <w:rPr>
                <w:rFonts w:hint="eastAsia" w:ascii="仿宋" w:hAnsi="仿宋" w:eastAsia="仿宋" w:cs="仿宋"/>
                <w:b/>
                <w:bCs/>
                <w:snapToGrid/>
                <w:color w:val="auto"/>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绩效评价</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jc w:val="center"/>
              <w:textAlignment w:val="center"/>
              <w:rPr>
                <w:rFonts w:hint="eastAsia" w:ascii="仿宋" w:hAnsi="仿宋" w:eastAsia="仿宋" w:cs="仿宋"/>
                <w:snapToGrid w:val="0"/>
                <w:color w:val="auto"/>
                <w:kern w:val="0"/>
                <w:sz w:val="28"/>
                <w:szCs w:val="28"/>
                <w:highlight w:val="none"/>
                <w:lang w:val="en-US" w:eastAsia="zh-CN" w:bidi="ar"/>
              </w:rPr>
            </w:pPr>
            <w:r>
              <w:rPr>
                <w:rFonts w:hint="eastAsia" w:ascii="仿宋" w:hAnsi="仿宋" w:eastAsia="仿宋" w:cs="仿宋"/>
                <w:b/>
                <w:bCs/>
                <w:snapToGrid/>
                <w:color w:val="auto"/>
                <w:kern w:val="2"/>
                <w:sz w:val="28"/>
                <w:szCs w:val="28"/>
                <w:highlight w:val="none"/>
                <w:lang w:val="en-US" w:eastAsia="zh-CN" w:bidi="ar-SA"/>
              </w:rPr>
              <w:t>工作过程</w:t>
            </w:r>
          </w:p>
        </w:tc>
        <w:tc>
          <w:tcPr>
            <w:tcW w:w="7439" w:type="dxa"/>
            <w:tcBorders>
              <w:tl2br w:val="nil"/>
              <w:tr2bl w:val="nil"/>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560" w:lineRule="exact"/>
              <w:ind w:left="640" w:right="0" w:hanging="560" w:hangingChars="200"/>
              <w:jc w:val="center"/>
              <w:textAlignment w:val="center"/>
              <w:rPr>
                <w:rFonts w:hint="eastAsia" w:ascii="仿宋" w:hAnsi="仿宋" w:eastAsia="仿宋" w:cs="仿宋"/>
                <w:snapToGrid/>
                <w:color w:val="auto"/>
                <w:kern w:val="2"/>
                <w:sz w:val="28"/>
                <w:szCs w:val="28"/>
                <w:highlight w:val="none"/>
                <w:lang w:val="en-US" w:eastAsia="zh-CN"/>
              </w:rPr>
            </w:pPr>
            <w:r>
              <w:rPr>
                <w:rFonts w:hint="eastAsia" w:ascii="仿宋" w:hAnsi="仿宋" w:eastAsia="仿宋" w:cs="仿宋"/>
                <w:snapToGrid/>
                <w:color w:val="auto"/>
                <w:kern w:val="2"/>
                <w:sz w:val="28"/>
                <w:szCs w:val="28"/>
                <w:highlight w:val="none"/>
                <w:lang w:val="en-US" w:eastAsia="zh-CN"/>
              </w:rPr>
              <w:t>前期准备阶段；2.现场评价阶段；3.撰写报告阶段。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Chars="-200" w:right="0" w:rightChars="0"/>
              <w:jc w:val="center"/>
              <w:textAlignment w:val="center"/>
              <w:rPr>
                <w:rFonts w:hint="eastAsia" w:ascii="仿宋" w:hAnsi="仿宋" w:eastAsia="仿宋" w:cs="仿宋"/>
                <w:snapToGrid w:val="0"/>
                <w:color w:val="auto"/>
                <w:kern w:val="0"/>
                <w:sz w:val="28"/>
                <w:szCs w:val="28"/>
                <w:highlight w:val="none"/>
                <w:lang w:val="en-US" w:eastAsia="en-US" w:bidi="ar"/>
              </w:rPr>
            </w:pPr>
            <w:r>
              <w:rPr>
                <w:rFonts w:hint="eastAsia" w:ascii="仿宋" w:hAnsi="仿宋" w:eastAsia="仿宋" w:cs="仿宋"/>
                <w:snapToGrid/>
                <w:color w:val="auto"/>
                <w:kern w:val="2"/>
                <w:sz w:val="28"/>
                <w:szCs w:val="28"/>
                <w:highlight w:val="none"/>
                <w:lang w:val="en-US" w:eastAsia="zh-CN"/>
              </w:rPr>
              <w:t>（2024年9月1日—2024年9月30日）</w:t>
            </w:r>
          </w:p>
        </w:tc>
      </w:tr>
    </w:tbl>
    <w:p>
      <w:pPr>
        <w:keepNext w:val="0"/>
        <w:keepLines w:val="0"/>
        <w:pageBreakBefore w:val="0"/>
        <w:widowControl/>
        <w:suppressLineNumbers w:val="0"/>
        <w:pBdr>
          <w:top w:val="none" w:color="000000" w:sz="0" w:space="0"/>
        </w:pBdr>
        <w:kinsoku/>
        <w:wordWrap/>
        <w:overflowPunct/>
        <w:topLinePunct w:val="0"/>
        <w:autoSpaceDE/>
        <w:autoSpaceDN/>
        <w:bidi w:val="0"/>
        <w:adjustRightInd w:val="0"/>
        <w:snapToGrid w:val="0"/>
        <w:spacing w:before="0" w:beforeLines="80" w:after="0" w:afterLines="80" w:line="560" w:lineRule="exact"/>
        <w:jc w:val="center"/>
        <w:textAlignment w:val="center"/>
        <w:rPr>
          <w:rFonts w:hint="eastAsia" w:ascii="仿宋" w:hAnsi="仿宋" w:eastAsia="仿宋" w:cs="仿宋"/>
          <w:b/>
          <w:bCs/>
          <w:snapToGrid/>
          <w:color w:val="7030A0"/>
          <w:kern w:val="2"/>
          <w:sz w:val="28"/>
          <w:szCs w:val="28"/>
          <w:highlight w:val="none"/>
          <w:lang w:val="en-US" w:eastAsia="zh-CN"/>
        </w:rPr>
      </w:pPr>
    </w:p>
    <w:p>
      <w:pPr>
        <w:keepNext w:val="0"/>
        <w:keepLines w:val="0"/>
        <w:pageBreakBefore w:val="0"/>
        <w:widowControl/>
        <w:suppressLineNumbers w:val="0"/>
        <w:pBdr>
          <w:top w:val="none" w:color="000000" w:sz="0" w:space="0"/>
        </w:pBdr>
        <w:kinsoku/>
        <w:wordWrap/>
        <w:overflowPunct/>
        <w:topLinePunct w:val="0"/>
        <w:autoSpaceDE/>
        <w:autoSpaceDN/>
        <w:bidi w:val="0"/>
        <w:adjustRightInd w:val="0"/>
        <w:snapToGrid w:val="0"/>
        <w:spacing w:before="0" w:beforeLines="80" w:after="0" w:afterLines="80" w:line="560" w:lineRule="exact"/>
        <w:jc w:val="center"/>
        <w:textAlignment w:val="center"/>
        <w:rPr>
          <w:rFonts w:hint="eastAsia"/>
          <w:color w:val="auto"/>
          <w:sz w:val="28"/>
          <w:szCs w:val="28"/>
          <w:lang w:val="en-US" w:eastAsia="zh-CN"/>
        </w:rPr>
      </w:pPr>
      <w:r>
        <w:rPr>
          <w:rFonts w:hint="eastAsia" w:ascii="仿宋" w:hAnsi="仿宋" w:eastAsia="仿宋" w:cs="仿宋"/>
          <w:b/>
          <w:bCs/>
          <w:snapToGrid/>
          <w:color w:val="auto"/>
          <w:kern w:val="2"/>
          <w:sz w:val="28"/>
          <w:szCs w:val="28"/>
          <w:highlight w:val="none"/>
          <w:lang w:val="en-US" w:eastAsia="zh-CN"/>
        </w:rP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914400</wp:posOffset>
                </wp:positionV>
                <wp:extent cx="5274310" cy="6350"/>
                <wp:effectExtent l="0" t="0" r="0" b="0"/>
                <wp:wrapNone/>
                <wp:docPr id="3" name="任意多边形 2"/>
                <wp:cNvGraphicFramePr/>
                <a:graphic xmlns:a="http://schemas.openxmlformats.org/drawingml/2006/main">
                  <a:graphicData uri="http://schemas.microsoft.com/office/word/2010/wordprocessingShape">
                    <wps:wsp>
                      <wps:cNvSpPr/>
                      <wps:spPr>
                        <a:xfrm>
                          <a:off x="0" y="0"/>
                          <a:ext cx="5274310" cy="6350"/>
                        </a:xfrm>
                        <a:custGeom>
                          <a:avLst/>
                          <a:gdLst/>
                          <a:ahLst/>
                          <a:cxnLst/>
                          <a:pathLst>
                            <a:path w="8305" h="10">
                              <a:moveTo>
                                <a:pt x="0" y="9"/>
                              </a:moveTo>
                              <a:lnTo>
                                <a:pt x="8305" y="9"/>
                              </a:lnTo>
                              <a:lnTo>
                                <a:pt x="8305" y="0"/>
                              </a:lnTo>
                              <a:lnTo>
                                <a:pt x="0" y="0"/>
                              </a:lnTo>
                              <a:lnTo>
                                <a:pt x="0" y="9"/>
                              </a:lnTo>
                              <a:close/>
                            </a:path>
                          </a:pathLst>
                        </a:custGeom>
                        <a:solidFill>
                          <a:srgbClr val="000000"/>
                        </a:solidFill>
                        <a:ln>
                          <a:noFill/>
                        </a:ln>
                        <a:effectLst/>
                      </wps:spPr>
                      <wps:bodyPr wrap="square" upright="1"/>
                    </wps:wsp>
                  </a:graphicData>
                </a:graphic>
              </wp:anchor>
            </w:drawing>
          </mc:Choice>
          <mc:Fallback>
            <w:pict>
              <v:shape id="任意多边形 2" o:spid="_x0000_s1026" o:spt="100" style="position:absolute;left:0pt;margin-left:90pt;margin-top:72pt;height:0.5pt;width:415.3pt;mso-position-horizontal-relative:page;mso-position-vertical-relative:page;z-index:251660288;mso-width-relative:page;mso-height-relative:page;" fillcolor="#000000" filled="t" stroked="f" coordsize="8305,10" o:allowincell="f" o:gfxdata="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DNKWx3WAAAADAEAAA8AAAAAAAAAAQAgAAAAOAAAAGRycy9kb3du&#10;cmV2LnhtbFBLAQIUABQAAAAIAIdO4kBn7en8JAIAAJUEAAAOAAAAAAAAAAEAIAAAADsBAABkcnMv&#10;ZTJvRG9jLnhtbFBLBQYAAAAABgAGAFkBAADRBQAAAAA=&#10;" path="m0,9l8305,9,8305,0,0,0,0,9xe">
                <v:fill on="t" focussize="0,0"/>
                <v:stroke on="f"/>
                <v:imagedata o:title=""/>
                <o:lock v:ext="edit" aspectratio="f"/>
              </v:shape>
            </w:pict>
          </mc:Fallback>
        </mc:AlternateContent>
      </w:r>
      <w:r>
        <w:rPr>
          <w:rFonts w:hint="eastAsia" w:ascii="仿宋" w:hAnsi="仿宋" w:eastAsia="仿宋" w:cs="仿宋"/>
          <w:b/>
          <w:bCs/>
          <w:snapToGrid/>
          <w:color w:val="auto"/>
          <w:kern w:val="2"/>
          <w:sz w:val="28"/>
          <w:szCs w:val="28"/>
          <w:highlight w:val="none"/>
          <w:lang w:val="en-US" w:eastAsia="zh-CN"/>
        </w:rPr>
        <w:t>四、评价结论和绩效分析</w:t>
      </w:r>
    </w:p>
    <w:tbl>
      <w:tblPr>
        <w:tblStyle w:val="10"/>
        <w:tblW w:w="9785" w:type="dxa"/>
        <w:tblInd w:w="-658"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477"/>
        <w:gridCol w:w="1293"/>
        <w:gridCol w:w="1123"/>
        <w:gridCol w:w="1246"/>
        <w:gridCol w:w="1307"/>
        <w:gridCol w:w="1077"/>
        <w:gridCol w:w="1262"/>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477"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仿宋" w:hAnsi="仿宋" w:eastAsia="仿宋" w:cs="仿宋"/>
                <w:b/>
                <w:bCs/>
                <w:color w:val="auto"/>
                <w:sz w:val="28"/>
                <w:szCs w:val="28"/>
              </w:rPr>
            </w:pPr>
            <w:r>
              <w:rPr>
                <w:rFonts w:hint="eastAsia" w:ascii="仿宋" w:hAnsi="仿宋" w:eastAsia="仿宋" w:cs="仿宋"/>
                <w:b/>
                <w:bCs/>
                <w:snapToGrid/>
                <w:color w:val="auto"/>
                <w:kern w:val="2"/>
                <w:sz w:val="28"/>
                <w:szCs w:val="28"/>
                <w:highlight w:val="none"/>
                <w:lang w:val="en-US" w:eastAsia="zh-CN" w:bidi="ar-SA"/>
              </w:rPr>
              <w:t>综合评价结论</w:t>
            </w:r>
          </w:p>
        </w:tc>
        <w:tc>
          <w:tcPr>
            <w:tcW w:w="1293"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仿宋" w:hAnsi="仿宋" w:eastAsia="仿宋" w:cs="仿宋"/>
                <w:b/>
                <w:bCs/>
                <w:color w:val="auto"/>
                <w:sz w:val="28"/>
                <w:szCs w:val="28"/>
              </w:rPr>
            </w:pPr>
            <w:r>
              <w:rPr>
                <w:rFonts w:hint="eastAsia" w:ascii="仿宋" w:hAnsi="仿宋" w:eastAsia="仿宋" w:cs="仿宋"/>
                <w:b/>
                <w:bCs/>
                <w:color w:val="auto"/>
                <w:spacing w:val="-2"/>
                <w:sz w:val="28"/>
                <w:szCs w:val="28"/>
              </w:rPr>
              <w:t>评价得分</w:t>
            </w:r>
          </w:p>
        </w:tc>
        <w:tc>
          <w:tcPr>
            <w:tcW w:w="2369" w:type="dxa"/>
            <w:gridSpan w:val="2"/>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left="0" w:right="0"/>
              <w:jc w:val="center"/>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highlight w:val="none"/>
                <w:lang w:val="en-US" w:eastAsia="zh-CN"/>
              </w:rPr>
              <w:t>92.91</w:t>
            </w:r>
          </w:p>
        </w:tc>
        <w:tc>
          <w:tcPr>
            <w:tcW w:w="1307"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pacing w:val="-2"/>
                <w:sz w:val="28"/>
                <w:szCs w:val="28"/>
              </w:rPr>
              <w:t>评价等级</w:t>
            </w:r>
          </w:p>
        </w:tc>
        <w:tc>
          <w:tcPr>
            <w:tcW w:w="2339" w:type="dxa"/>
            <w:gridSpan w:val="2"/>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left="0" w:right="0"/>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优</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477" w:type="dxa"/>
            <w:vMerge w:val="restart"/>
            <w:tcBorders>
              <w:tl2br w:val="nil"/>
              <w:tr2bl w:val="nil"/>
            </w:tcBorders>
            <w:noWrap w:val="0"/>
            <w:vAlign w:val="top"/>
          </w:tcPr>
          <w:p>
            <w:pPr>
              <w:keepNext w:val="0"/>
              <w:keepLines w:val="0"/>
              <w:pageBreakBefore w:val="0"/>
              <w:widowControl/>
              <w:wordWrap/>
              <w:overflowPunct/>
              <w:topLinePunct w:val="0"/>
              <w:bidi w:val="0"/>
              <w:adjustRightInd w:val="0"/>
              <w:snapToGrid w:val="0"/>
              <w:spacing w:line="560" w:lineRule="exact"/>
              <w:ind w:left="0" w:right="0"/>
              <w:rPr>
                <w:rFonts w:hint="eastAsia" w:ascii="仿宋" w:hAnsi="仿宋" w:eastAsia="仿宋" w:cs="仿宋"/>
                <w:b/>
                <w:bCs/>
                <w:color w:val="auto"/>
                <w:sz w:val="28"/>
                <w:szCs w:val="28"/>
              </w:rPr>
            </w:pP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仿宋" w:hAnsi="仿宋" w:eastAsia="仿宋" w:cs="仿宋"/>
                <w:b/>
                <w:bCs/>
                <w:color w:val="auto"/>
                <w:sz w:val="28"/>
                <w:szCs w:val="28"/>
                <w:lang w:eastAsia="zh-CN"/>
              </w:rPr>
            </w:pPr>
            <w:r>
              <w:rPr>
                <w:rFonts w:hint="eastAsia" w:ascii="仿宋" w:hAnsi="仿宋" w:eastAsia="仿宋" w:cs="仿宋"/>
                <w:b/>
                <w:bCs/>
                <w:color w:val="auto"/>
                <w:spacing w:val="-3"/>
                <w:sz w:val="28"/>
                <w:szCs w:val="28"/>
                <w:highlight w:val="none"/>
                <w:lang w:val="en-US" w:eastAsia="zh-CN"/>
              </w:rPr>
              <w:t>绩效</w:t>
            </w:r>
            <w:r>
              <w:rPr>
                <w:rFonts w:hint="eastAsia" w:ascii="仿宋" w:hAnsi="仿宋" w:eastAsia="仿宋" w:cs="仿宋"/>
                <w:b/>
                <w:bCs/>
                <w:color w:val="auto"/>
                <w:spacing w:val="-3"/>
                <w:sz w:val="28"/>
                <w:szCs w:val="28"/>
                <w:highlight w:val="none"/>
              </w:rPr>
              <w:t>分析</w:t>
            </w:r>
          </w:p>
        </w:tc>
        <w:tc>
          <w:tcPr>
            <w:tcW w:w="1293"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left="0" w:right="0" w:firstLine="275" w:firstLineChars="100"/>
              <w:jc w:val="both"/>
              <w:rPr>
                <w:rFonts w:hint="eastAsia" w:ascii="仿宋" w:hAnsi="仿宋" w:eastAsia="仿宋" w:cs="仿宋"/>
                <w:b/>
                <w:bCs/>
                <w:color w:val="auto"/>
                <w:sz w:val="28"/>
                <w:szCs w:val="28"/>
              </w:rPr>
            </w:pPr>
            <w:r>
              <w:rPr>
                <w:rFonts w:hint="eastAsia" w:ascii="仿宋" w:hAnsi="仿宋" w:eastAsia="仿宋" w:cs="仿宋"/>
                <w:b/>
                <w:bCs/>
                <w:color w:val="auto"/>
                <w:spacing w:val="-3"/>
                <w:sz w:val="28"/>
                <w:szCs w:val="28"/>
              </w:rPr>
              <w:t>指标</w:t>
            </w:r>
          </w:p>
        </w:tc>
        <w:tc>
          <w:tcPr>
            <w:tcW w:w="1123"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决策</w:t>
            </w:r>
          </w:p>
        </w:tc>
        <w:tc>
          <w:tcPr>
            <w:tcW w:w="1246"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left="0" w:right="0"/>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管理</w:t>
            </w:r>
          </w:p>
        </w:tc>
        <w:tc>
          <w:tcPr>
            <w:tcW w:w="1307"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产出</w:t>
            </w:r>
          </w:p>
        </w:tc>
        <w:tc>
          <w:tcPr>
            <w:tcW w:w="1077"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效益</w:t>
            </w:r>
          </w:p>
        </w:tc>
        <w:tc>
          <w:tcPr>
            <w:tcW w:w="1262"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合计</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477" w:type="dxa"/>
            <w:vMerge w:val="continue"/>
            <w:tcBorders>
              <w:tl2br w:val="nil"/>
              <w:tr2bl w:val="nil"/>
            </w:tcBorders>
            <w:noWrap w:val="0"/>
            <w:vAlign w:val="center"/>
          </w:tcPr>
          <w:p>
            <w:pPr>
              <w:keepNext w:val="0"/>
              <w:keepLines w:val="0"/>
              <w:pageBreakBefore w:val="0"/>
              <w:widowControl/>
              <w:wordWrap/>
              <w:overflowPunct/>
              <w:topLinePunct w:val="0"/>
              <w:bidi w:val="0"/>
              <w:adjustRightInd w:val="0"/>
              <w:snapToGrid w:val="0"/>
              <w:spacing w:line="560" w:lineRule="exact"/>
              <w:ind w:left="0" w:right="0"/>
              <w:jc w:val="center"/>
              <w:rPr>
                <w:rFonts w:hint="eastAsia" w:ascii="仿宋" w:hAnsi="仿宋" w:eastAsia="仿宋" w:cs="仿宋"/>
                <w:b/>
                <w:bCs/>
                <w:color w:val="auto"/>
                <w:sz w:val="28"/>
                <w:szCs w:val="28"/>
              </w:rPr>
            </w:pPr>
          </w:p>
        </w:tc>
        <w:tc>
          <w:tcPr>
            <w:tcW w:w="1293"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right="0"/>
              <w:jc w:val="center"/>
              <w:rPr>
                <w:rFonts w:hint="eastAsia" w:ascii="仿宋" w:hAnsi="仿宋" w:eastAsia="仿宋" w:cs="仿宋"/>
                <w:b/>
                <w:bCs/>
                <w:color w:val="auto"/>
                <w:sz w:val="28"/>
                <w:szCs w:val="28"/>
              </w:rPr>
            </w:pPr>
            <w:r>
              <w:rPr>
                <w:rFonts w:hint="eastAsia" w:ascii="仿宋" w:hAnsi="仿宋" w:eastAsia="仿宋" w:cs="仿宋"/>
                <w:b/>
                <w:bCs/>
                <w:color w:val="auto"/>
                <w:spacing w:val="-3"/>
                <w:sz w:val="28"/>
                <w:szCs w:val="28"/>
                <w:lang w:val="en-US" w:eastAsia="zh-CN"/>
              </w:rPr>
              <w:t>得分率</w:t>
            </w:r>
          </w:p>
        </w:tc>
        <w:tc>
          <w:tcPr>
            <w:tcW w:w="1123"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right="0"/>
              <w:jc w:val="center"/>
              <w:rPr>
                <w:rFonts w:hint="eastAsia" w:ascii="仿宋" w:hAnsi="仿宋" w:eastAsia="仿宋" w:cs="仿宋"/>
                <w:b/>
                <w:bCs/>
                <w:color w:val="auto"/>
                <w:spacing w:val="-3"/>
                <w:sz w:val="28"/>
                <w:szCs w:val="28"/>
                <w:lang w:val="en-US" w:eastAsia="zh-CN"/>
              </w:rPr>
            </w:pPr>
            <w:r>
              <w:rPr>
                <w:rFonts w:hint="eastAsia" w:ascii="仿宋" w:hAnsi="仿宋" w:eastAsia="仿宋" w:cs="仿宋"/>
                <w:color w:val="auto"/>
                <w:sz w:val="28"/>
                <w:szCs w:val="28"/>
                <w:highlight w:val="none"/>
                <w:lang w:val="en-US" w:eastAsia="zh-CN"/>
              </w:rPr>
              <w:t>79.17</w:t>
            </w:r>
            <w:r>
              <w:rPr>
                <w:rFonts w:hint="eastAsia" w:ascii="仿宋" w:hAnsi="仿宋" w:eastAsia="仿宋" w:cs="仿宋"/>
                <w:color w:val="auto"/>
                <w:sz w:val="28"/>
                <w:szCs w:val="28"/>
                <w:highlight w:val="none"/>
              </w:rPr>
              <w:t>%</w:t>
            </w:r>
          </w:p>
        </w:tc>
        <w:tc>
          <w:tcPr>
            <w:tcW w:w="1246"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right="0"/>
              <w:jc w:val="center"/>
              <w:rPr>
                <w:rFonts w:hint="eastAsia" w:ascii="仿宋" w:hAnsi="仿宋" w:eastAsia="仿宋" w:cs="仿宋"/>
                <w:b/>
                <w:bCs/>
                <w:color w:val="auto"/>
                <w:spacing w:val="-3"/>
                <w:sz w:val="28"/>
                <w:szCs w:val="28"/>
                <w:lang w:val="en-US" w:eastAsia="zh-CN"/>
              </w:rPr>
            </w:pPr>
            <w:r>
              <w:rPr>
                <w:rFonts w:hint="eastAsia" w:ascii="仿宋" w:hAnsi="仿宋" w:eastAsia="仿宋" w:cs="仿宋"/>
                <w:color w:val="auto"/>
                <w:sz w:val="28"/>
                <w:szCs w:val="28"/>
                <w:highlight w:val="none"/>
                <w:lang w:val="en-US" w:eastAsia="zh-CN"/>
              </w:rPr>
              <w:t>89.29</w:t>
            </w:r>
            <w:r>
              <w:rPr>
                <w:rFonts w:hint="eastAsia" w:ascii="仿宋" w:hAnsi="仿宋" w:eastAsia="仿宋" w:cs="仿宋"/>
                <w:color w:val="auto"/>
                <w:sz w:val="28"/>
                <w:szCs w:val="28"/>
                <w:highlight w:val="none"/>
              </w:rPr>
              <w:t>%</w:t>
            </w:r>
          </w:p>
        </w:tc>
        <w:tc>
          <w:tcPr>
            <w:tcW w:w="1307"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right="0"/>
              <w:jc w:val="center"/>
              <w:rPr>
                <w:rFonts w:hint="eastAsia" w:ascii="仿宋" w:hAnsi="仿宋" w:eastAsia="仿宋" w:cs="仿宋"/>
                <w:b/>
                <w:bCs/>
                <w:color w:val="auto"/>
                <w:spacing w:val="-3"/>
                <w:sz w:val="28"/>
                <w:szCs w:val="28"/>
                <w:lang w:val="en-US" w:eastAsia="zh-CN"/>
              </w:rPr>
            </w:pPr>
            <w:r>
              <w:rPr>
                <w:rFonts w:hint="eastAsia" w:ascii="仿宋" w:hAnsi="仿宋" w:eastAsia="仿宋" w:cs="仿宋"/>
                <w:color w:val="auto"/>
                <w:sz w:val="28"/>
                <w:szCs w:val="28"/>
                <w:highlight w:val="none"/>
                <w:lang w:val="en-US" w:eastAsia="zh-CN"/>
              </w:rPr>
              <w:t>96.67</w:t>
            </w:r>
            <w:r>
              <w:rPr>
                <w:rFonts w:hint="eastAsia" w:ascii="仿宋" w:hAnsi="仿宋" w:eastAsia="仿宋" w:cs="仿宋"/>
                <w:color w:val="auto"/>
                <w:sz w:val="28"/>
                <w:szCs w:val="28"/>
                <w:highlight w:val="none"/>
              </w:rPr>
              <w:t>%</w:t>
            </w:r>
          </w:p>
        </w:tc>
        <w:tc>
          <w:tcPr>
            <w:tcW w:w="1077"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right="0"/>
              <w:jc w:val="center"/>
              <w:rPr>
                <w:rFonts w:hint="eastAsia" w:ascii="仿宋" w:hAnsi="仿宋" w:eastAsia="仿宋" w:cs="仿宋"/>
                <w:b/>
                <w:bCs/>
                <w:color w:val="auto"/>
                <w:spacing w:val="-3"/>
                <w:sz w:val="28"/>
                <w:szCs w:val="28"/>
                <w:lang w:val="en-US" w:eastAsia="zh-CN"/>
              </w:rPr>
            </w:pPr>
            <w:r>
              <w:rPr>
                <w:rFonts w:hint="eastAsia" w:ascii="仿宋" w:hAnsi="仿宋" w:eastAsia="仿宋" w:cs="仿宋"/>
                <w:color w:val="auto"/>
                <w:sz w:val="28"/>
                <w:szCs w:val="28"/>
                <w:highlight w:val="none"/>
                <w:lang w:val="en-US" w:eastAsia="zh-CN"/>
              </w:rPr>
              <w:t>98.03%</w:t>
            </w:r>
          </w:p>
        </w:tc>
        <w:tc>
          <w:tcPr>
            <w:tcW w:w="1262"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560" w:lineRule="exact"/>
              <w:ind w:right="0"/>
              <w:jc w:val="center"/>
              <w:rPr>
                <w:rFonts w:hint="eastAsia" w:ascii="仿宋" w:hAnsi="仿宋" w:eastAsia="仿宋" w:cs="仿宋"/>
                <w:b/>
                <w:bCs/>
                <w:color w:val="auto"/>
                <w:spacing w:val="-3"/>
                <w:sz w:val="28"/>
                <w:szCs w:val="28"/>
                <w:lang w:val="en-US" w:eastAsia="zh-CN"/>
              </w:rPr>
            </w:pPr>
            <w:r>
              <w:rPr>
                <w:rFonts w:hint="eastAsia" w:ascii="仿宋" w:hAnsi="仿宋" w:eastAsia="仿宋" w:cs="仿宋"/>
                <w:b/>
                <w:bCs/>
                <w:color w:val="auto"/>
                <w:sz w:val="28"/>
                <w:szCs w:val="28"/>
                <w:highlight w:val="none"/>
                <w:lang w:val="en-US" w:eastAsia="zh-CN"/>
              </w:rPr>
              <w:t>92.91</w:t>
            </w:r>
            <w:r>
              <w:rPr>
                <w:rFonts w:hint="eastAsia" w:ascii="仿宋" w:hAnsi="仿宋" w:eastAsia="仿宋" w:cs="仿宋"/>
                <w:b/>
                <w:bCs/>
                <w:color w:val="auto"/>
                <w:sz w:val="28"/>
                <w:szCs w:val="28"/>
                <w:highlight w:val="none"/>
              </w:rPr>
              <w:t>%</w:t>
            </w:r>
          </w:p>
        </w:tc>
      </w:tr>
    </w:tbl>
    <w:p>
      <w:pPr>
        <w:keepNext w:val="0"/>
        <w:keepLines w:val="0"/>
        <w:pageBreakBefore w:val="0"/>
        <w:widowControl/>
        <w:suppressLineNumbers w:val="0"/>
        <w:pBdr>
          <w:top w:val="none" w:color="000000" w:sz="0" w:space="0"/>
        </w:pBdr>
        <w:kinsoku/>
        <w:wordWrap/>
        <w:overflowPunct/>
        <w:topLinePunct w:val="0"/>
        <w:autoSpaceDE/>
        <w:autoSpaceDN/>
        <w:bidi w:val="0"/>
        <w:adjustRightInd w:val="0"/>
        <w:snapToGrid w:val="0"/>
        <w:spacing w:before="0" w:beforeLines="80" w:after="0" w:afterLines="80" w:line="560" w:lineRule="exact"/>
        <w:jc w:val="center"/>
        <w:textAlignment w:val="center"/>
        <w:rPr>
          <w:rFonts w:hint="eastAsia"/>
          <w:color w:val="auto"/>
          <w:sz w:val="28"/>
          <w:szCs w:val="28"/>
        </w:rPr>
      </w:pPr>
      <w:r>
        <w:rPr>
          <w:rFonts w:hint="eastAsia" w:ascii="仿宋" w:hAnsi="仿宋" w:eastAsia="仿宋" w:cs="仿宋"/>
          <w:b/>
          <w:bCs/>
          <w:snapToGrid/>
          <w:color w:val="auto"/>
          <w:kern w:val="2"/>
          <w:sz w:val="28"/>
          <w:szCs w:val="28"/>
          <w:highlight w:val="none"/>
          <w:lang w:val="en-US" w:eastAsia="zh-CN"/>
        </w:rPr>
        <w:t>五、存在问题</w:t>
      </w:r>
    </w:p>
    <w:tbl>
      <w:tblPr>
        <w:tblStyle w:val="10"/>
        <w:tblpPr w:leftFromText="180" w:rightFromText="180" w:vertAnchor="text" w:tblpXSpec="center" w:tblpY="1"/>
        <w:tblOverlap w:val="never"/>
        <w:tblW w:w="0" w:type="auto"/>
        <w:tblInd w:w="0" w:type="dxa"/>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0" w:type="dxa"/>
          <w:bottom w:w="0" w:type="dxa"/>
          <w:right w:w="0" w:type="dxa"/>
        </w:tblCellMar>
      </w:tblPr>
      <w:tblGrid>
        <w:gridCol w:w="10088"/>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5220" w:hRule="atLeast"/>
        </w:trPr>
        <w:tc>
          <w:tcPr>
            <w:tcW w:w="10088" w:type="dxa"/>
            <w:tcBorders>
              <w:tl2br w:val="nil"/>
              <w:tr2bl w:val="nil"/>
            </w:tcBorders>
            <w:noWrap w:val="0"/>
            <w:vAlign w:val="top"/>
          </w:tcPr>
          <w:p>
            <w:pPr>
              <w:pStyle w:val="2"/>
              <w:keepNext/>
              <w:keepLines/>
              <w:pageBreakBefore w:val="0"/>
              <w:widowControl/>
              <w:kinsoku/>
              <w:wordWrap/>
              <w:overflowPunct/>
              <w:topLinePunct w:val="0"/>
              <w:autoSpaceDE/>
              <w:autoSpaceDN/>
              <w:bidi w:val="0"/>
              <w:adjustRightInd/>
              <w:snapToGrid/>
              <w:spacing w:before="0" w:beforeLines="0" w:after="0" w:afterLines="0" w:line="560" w:lineRule="exact"/>
              <w:ind w:firstLine="643"/>
              <w:jc w:val="left"/>
              <w:textAlignment w:val="baseline"/>
              <w:rPr>
                <w:rFonts w:hint="eastAsia" w:ascii="仿宋" w:hAnsi="仿宋" w:eastAsia="仿宋" w:cs="仿宋"/>
                <w:b/>
                <w:bCs w:val="0"/>
                <w:color w:val="auto"/>
                <w:sz w:val="28"/>
                <w:szCs w:val="28"/>
                <w:lang w:val="en-US" w:eastAsia="zh-CN"/>
              </w:rPr>
            </w:pPr>
            <w:bookmarkStart w:id="0" w:name="_Toc15193"/>
            <w:r>
              <w:rPr>
                <w:rFonts w:hint="eastAsia" w:ascii="仿宋" w:hAnsi="仿宋" w:eastAsia="仿宋" w:cs="仿宋"/>
                <w:b/>
                <w:bCs w:val="0"/>
                <w:color w:val="auto"/>
                <w:sz w:val="28"/>
                <w:szCs w:val="28"/>
                <w:lang w:val="en-US" w:eastAsia="zh-CN"/>
              </w:rPr>
              <w:t>（一）</w:t>
            </w:r>
            <w:bookmarkEnd w:id="0"/>
            <w:r>
              <w:rPr>
                <w:rFonts w:hint="eastAsia" w:ascii="仿宋" w:hAnsi="仿宋" w:eastAsia="仿宋" w:cs="仿宋"/>
                <w:b/>
                <w:bCs w:val="0"/>
                <w:color w:val="auto"/>
                <w:sz w:val="28"/>
                <w:szCs w:val="28"/>
                <w:lang w:val="en-US" w:eastAsia="zh-CN"/>
              </w:rPr>
              <w:t>绩效目标设定不全面</w:t>
            </w:r>
          </w:p>
          <w:p>
            <w:pPr>
              <w:adjustRightInd w:val="0"/>
              <w:snapToGrid w:val="0"/>
              <w:spacing w:line="560" w:lineRule="exact"/>
              <w:ind w:firstLine="560" w:firstLineChars="200"/>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经查阅，山丹县霍城河水利管理处填写的《2023年度项目支出绩效目标表》，年度目标和总体目标为：“东关塘坝库区清淤、坝体填筑及碾压、干砌石砌筑、溢洪道修建；牛家崖塘坝库区清淤、坝体填筑及碾压、干砌石砌筑；完成渠道改建54.1km，各类建筑物294座”；而山丹县霍城河灌区节水改造工程项目实际建设内容为“维修加固东关塘坝、东山塘坝、牛家崖塘坝等3座塘坝，改建衬砌渠道17条，总长65.243公里，改建各类建筑物1237座”；根据对比，项目绩效目标设置内容少于项目实际建设内容。</w:t>
            </w:r>
          </w:p>
          <w:p>
            <w:pPr>
              <w:adjustRightInd w:val="0"/>
              <w:snapToGrid w:val="0"/>
              <w:spacing w:line="560" w:lineRule="exact"/>
              <w:ind w:firstLine="560" w:firstLineChars="200"/>
              <w:textAlignment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因本项目建设期为两年，绩效目标未细化设置本年度应完成内容，未区分该项目总体建设目标和年度建设目标；已设置的绩效目标内容不完整，未体现项目利用专项债券资金实施后预期产出及效益内容</w:t>
            </w:r>
            <w:r>
              <w:rPr>
                <w:rFonts w:hint="eastAsia" w:ascii="仿宋" w:hAnsi="仿宋" w:eastAsia="仿宋" w:cs="仿宋"/>
                <w:color w:val="auto"/>
                <w:sz w:val="28"/>
                <w:szCs w:val="28"/>
                <w:lang w:eastAsia="zh-CN"/>
              </w:rPr>
              <w:t>。</w:t>
            </w:r>
          </w:p>
          <w:p>
            <w:pPr>
              <w:adjustRightInd w:val="0"/>
              <w:snapToGrid w:val="0"/>
              <w:spacing w:line="560" w:lineRule="exact"/>
              <w:ind w:firstLine="560" w:firstLineChars="200"/>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绩效目标中融资成本和偿债风险也未体现，不符合《财政部关于印发〈地方政府专项债券项目资金绩效管理办法〉的通知》（财预〔2021〕61号）文件中“绩效目标要尽可能细化量化，能有效反映项目的预期产出、融资成本、偿债风险等”的要求。</w:t>
            </w:r>
          </w:p>
          <w:p>
            <w:pPr>
              <w:pStyle w:val="2"/>
              <w:keepNext/>
              <w:keepLines/>
              <w:pageBreakBefore w:val="0"/>
              <w:widowControl/>
              <w:kinsoku/>
              <w:wordWrap/>
              <w:overflowPunct/>
              <w:topLinePunct w:val="0"/>
              <w:autoSpaceDE/>
              <w:autoSpaceDN/>
              <w:bidi w:val="0"/>
              <w:adjustRightInd/>
              <w:snapToGrid/>
              <w:spacing w:before="0" w:beforeLines="0" w:after="0" w:afterLines="0" w:line="560" w:lineRule="exact"/>
              <w:ind w:firstLine="643"/>
              <w:jc w:val="left"/>
              <w:textAlignment w:val="baseline"/>
              <w:rPr>
                <w:rFonts w:hint="eastAsia" w:ascii="仿宋" w:hAnsi="仿宋" w:eastAsia="仿宋" w:cs="仿宋"/>
                <w:b/>
                <w:bCs w:val="0"/>
                <w:color w:val="auto"/>
                <w:sz w:val="28"/>
                <w:szCs w:val="28"/>
                <w:lang w:val="en-US" w:eastAsia="zh-CN"/>
              </w:rPr>
            </w:pPr>
            <w:bookmarkStart w:id="1" w:name="_Toc22150"/>
          </w:p>
          <w:p>
            <w:pPr>
              <w:pStyle w:val="2"/>
              <w:keepNext/>
              <w:keepLines/>
              <w:pageBreakBefore w:val="0"/>
              <w:widowControl/>
              <w:kinsoku/>
              <w:wordWrap/>
              <w:overflowPunct/>
              <w:topLinePunct w:val="0"/>
              <w:autoSpaceDE/>
              <w:autoSpaceDN/>
              <w:bidi w:val="0"/>
              <w:adjustRightInd/>
              <w:snapToGrid/>
              <w:spacing w:before="0" w:beforeLines="0" w:after="0" w:afterLines="0" w:line="560" w:lineRule="exact"/>
              <w:ind w:firstLine="643"/>
              <w:jc w:val="left"/>
              <w:textAlignment w:val="baseline"/>
              <w:rPr>
                <w:rFonts w:hint="eastAsia" w:ascii="仿宋" w:hAnsi="仿宋" w:eastAsia="仿宋" w:cs="仿宋"/>
                <w:b/>
                <w:bCs/>
                <w:color w:val="auto"/>
                <w:sz w:val="32"/>
                <w:szCs w:val="32"/>
                <w:lang w:val="en-US" w:eastAsia="zh-CN" w:bidi="ar-SA"/>
              </w:rPr>
            </w:pPr>
            <w:r>
              <w:rPr>
                <w:rFonts w:hint="eastAsia" w:ascii="仿宋" w:hAnsi="仿宋" w:eastAsia="仿宋" w:cs="仿宋"/>
                <w:b/>
                <w:bCs w:val="0"/>
                <w:color w:val="auto"/>
                <w:sz w:val="28"/>
                <w:szCs w:val="28"/>
                <w:lang w:val="en-US" w:eastAsia="zh-CN"/>
              </w:rPr>
              <w:t>（二）</w:t>
            </w:r>
            <w:bookmarkEnd w:id="1"/>
            <w:bookmarkStart w:id="2" w:name="_Toc1404"/>
            <w:r>
              <w:rPr>
                <w:rFonts w:hint="eastAsia" w:ascii="仿宋" w:hAnsi="仿宋" w:eastAsia="仿宋" w:cs="仿宋"/>
                <w:b/>
                <w:bCs w:val="0"/>
                <w:color w:val="auto"/>
                <w:sz w:val="28"/>
                <w:szCs w:val="28"/>
                <w:lang w:val="en-US" w:eastAsia="zh-CN"/>
              </w:rPr>
              <w:t>绩效指标编制不准确</w:t>
            </w:r>
          </w:p>
          <w:p>
            <w:pPr>
              <w:adjustRightInd w:val="0"/>
              <w:snapToGrid w:val="0"/>
              <w:spacing w:line="560" w:lineRule="exact"/>
              <w:ind w:firstLine="560" w:firstLineChars="200"/>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经查阅《山丹县霍城河灌区节水改造工程2023年度项目支出绩效目标表》，项目实施单位山丹县霍城河水利管理处已将绩效目标分解为具体的绩效指标，项目绩效指标与项目实施内容相关，但部分绩效指标设置不够合理及细化。如数量指标的中三级指标设置不全面，仅设置为“改建衬砌渠道54.1km”，而项目实际建设为“改建衬渠总长65.243km和维修加固东关塘坝、东山塘坝、牛家崖塘坝等3座塘坝”，数量指标值与实际不符，且数量指标内容未全面覆盖到所有实施的项目内容，无法与目标任务数对应；时效指标的三级指标设置为“投资完成率”，指标设置不准确，未能体现有关项目的产出时效内容；可持续影响指标的三级指标设置为“已建工程是否良性运行”“工程是否达到设计使用年限”，经核实本项目于2024年7月26日</w:t>
            </w:r>
            <w:r>
              <w:rPr>
                <w:rFonts w:hint="eastAsia" w:ascii="仿宋" w:hAnsi="仿宋" w:eastAsia="仿宋" w:cs="仿宋"/>
                <w:color w:val="auto"/>
                <w:sz w:val="28"/>
                <w:szCs w:val="28"/>
                <w:lang w:val="en-US" w:eastAsia="zh-CN"/>
              </w:rPr>
              <w:t>主体工程</w:t>
            </w:r>
            <w:r>
              <w:rPr>
                <w:rFonts w:hint="eastAsia" w:ascii="仿宋" w:hAnsi="仿宋" w:eastAsia="仿宋" w:cs="仿宋"/>
                <w:color w:val="auto"/>
                <w:sz w:val="28"/>
                <w:szCs w:val="28"/>
              </w:rPr>
              <w:t>完工且未整体验收，尚未投入使用，</w:t>
            </w:r>
            <w:r>
              <w:rPr>
                <w:rFonts w:hint="eastAsia" w:ascii="仿宋" w:hAnsi="仿宋" w:eastAsia="仿宋" w:cs="仿宋"/>
                <w:color w:val="auto"/>
                <w:sz w:val="28"/>
                <w:szCs w:val="28"/>
                <w:lang w:val="en-US" w:eastAsia="zh-CN"/>
              </w:rPr>
              <w:t>绩效</w:t>
            </w:r>
            <w:r>
              <w:rPr>
                <w:rFonts w:hint="eastAsia" w:ascii="仿宋" w:hAnsi="仿宋" w:eastAsia="仿宋" w:cs="仿宋"/>
                <w:color w:val="auto"/>
                <w:sz w:val="28"/>
                <w:szCs w:val="28"/>
              </w:rPr>
              <w:t>指标</w:t>
            </w:r>
            <w:r>
              <w:rPr>
                <w:rFonts w:hint="eastAsia" w:ascii="仿宋" w:hAnsi="仿宋" w:eastAsia="仿宋" w:cs="仿宋"/>
                <w:color w:val="auto"/>
                <w:sz w:val="28"/>
                <w:szCs w:val="28"/>
                <w:lang w:val="en-US" w:eastAsia="zh-CN"/>
              </w:rPr>
              <w:t>编制</w:t>
            </w:r>
            <w:r>
              <w:rPr>
                <w:rFonts w:hint="eastAsia" w:ascii="仿宋" w:hAnsi="仿宋" w:eastAsia="仿宋" w:cs="仿宋"/>
                <w:color w:val="auto"/>
                <w:sz w:val="28"/>
                <w:szCs w:val="28"/>
              </w:rPr>
              <w:t>不准确。</w:t>
            </w:r>
          </w:p>
          <w:p>
            <w:pPr>
              <w:pStyle w:val="2"/>
              <w:keepNext/>
              <w:keepLines/>
              <w:pageBreakBefore w:val="0"/>
              <w:widowControl/>
              <w:kinsoku/>
              <w:wordWrap/>
              <w:overflowPunct/>
              <w:topLinePunct w:val="0"/>
              <w:autoSpaceDE/>
              <w:autoSpaceDN/>
              <w:bidi w:val="0"/>
              <w:adjustRightInd/>
              <w:snapToGrid/>
              <w:spacing w:before="0" w:beforeLines="0" w:after="0" w:afterLines="0" w:line="560" w:lineRule="exact"/>
              <w:ind w:firstLine="643"/>
              <w:jc w:val="left"/>
              <w:textAlignment w:val="baseline"/>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（三）</w:t>
            </w:r>
            <w:bookmarkEnd w:id="2"/>
            <w:bookmarkStart w:id="3" w:name="_Toc21075"/>
            <w:r>
              <w:rPr>
                <w:rFonts w:hint="eastAsia" w:ascii="仿宋" w:hAnsi="仿宋" w:eastAsia="仿宋" w:cs="仿宋"/>
                <w:b/>
                <w:bCs w:val="0"/>
                <w:color w:val="auto"/>
                <w:sz w:val="28"/>
                <w:szCs w:val="28"/>
                <w:lang w:val="en-US" w:eastAsia="zh-CN"/>
              </w:rPr>
              <w:t>项目合同管理不规范</w:t>
            </w:r>
          </w:p>
          <w:p>
            <w:pPr>
              <w:adjustRightInd w:val="0"/>
              <w:snapToGrid w:val="0"/>
              <w:spacing w:line="560" w:lineRule="exact"/>
              <w:ind w:firstLine="560" w:firstLineChars="200"/>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经查阅项目相关合同，山丹县霍城河水利管理处与甘肃中科泓宇环境科技有限公司签订的技术咨询合同中未填写签约时间、签约地点等信息</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山丹县霍城河水利管理处</w:t>
            </w:r>
            <w:r>
              <w:rPr>
                <w:rFonts w:hint="eastAsia" w:ascii="仿宋" w:hAnsi="仿宋" w:eastAsia="仿宋" w:cs="仿宋"/>
                <w:color w:val="auto"/>
                <w:sz w:val="28"/>
                <w:szCs w:val="28"/>
                <w:lang w:val="en-US" w:eastAsia="zh-CN"/>
              </w:rPr>
              <w:t>与内蒙古中衡项目管理有限公司签订的建设工程招标代理合同中未明确具体的合同价款</w:t>
            </w:r>
            <w:r>
              <w:rPr>
                <w:rFonts w:hint="eastAsia" w:ascii="仿宋" w:hAnsi="仿宋" w:eastAsia="仿宋" w:cs="仿宋"/>
                <w:color w:val="auto"/>
                <w:sz w:val="28"/>
                <w:szCs w:val="28"/>
                <w:lang w:eastAsia="zh-CN"/>
              </w:rPr>
              <w:t>。</w:t>
            </w:r>
          </w:p>
          <w:p>
            <w:pPr>
              <w:pStyle w:val="2"/>
              <w:keepNext/>
              <w:keepLines/>
              <w:pageBreakBefore w:val="0"/>
              <w:widowControl/>
              <w:kinsoku/>
              <w:wordWrap/>
              <w:overflowPunct/>
              <w:topLinePunct w:val="0"/>
              <w:autoSpaceDE/>
              <w:autoSpaceDN/>
              <w:bidi w:val="0"/>
              <w:adjustRightInd/>
              <w:snapToGrid/>
              <w:spacing w:before="0" w:beforeLines="0" w:after="0" w:afterLines="0" w:line="560" w:lineRule="exact"/>
              <w:ind w:firstLine="643"/>
              <w:jc w:val="left"/>
              <w:textAlignment w:val="baseline"/>
              <w:rPr>
                <w:rFonts w:hint="eastAsia" w:ascii="仿宋" w:hAnsi="仿宋" w:eastAsia="仿宋" w:cs="仿宋"/>
                <w:b/>
                <w:bCs/>
                <w:color w:val="auto"/>
                <w:sz w:val="32"/>
                <w:szCs w:val="32"/>
                <w:lang w:val="en-US" w:eastAsia="zh-CN" w:bidi="ar-SA"/>
              </w:rPr>
            </w:pPr>
            <w:r>
              <w:rPr>
                <w:rFonts w:hint="eastAsia" w:ascii="仿宋" w:hAnsi="仿宋" w:eastAsia="仿宋" w:cs="仿宋"/>
                <w:b/>
                <w:bCs w:val="0"/>
                <w:color w:val="auto"/>
                <w:sz w:val="28"/>
                <w:szCs w:val="28"/>
                <w:lang w:val="en-US" w:eastAsia="zh-CN"/>
              </w:rPr>
              <w:t>（四）</w:t>
            </w:r>
            <w:bookmarkEnd w:id="3"/>
            <w:bookmarkStart w:id="4" w:name="_Toc3348"/>
            <w:r>
              <w:rPr>
                <w:rFonts w:hint="eastAsia" w:ascii="仿宋" w:hAnsi="仿宋" w:eastAsia="仿宋" w:cs="仿宋"/>
                <w:b/>
                <w:bCs w:val="0"/>
                <w:color w:val="auto"/>
                <w:sz w:val="28"/>
                <w:szCs w:val="28"/>
                <w:lang w:val="en-US" w:eastAsia="zh-CN"/>
              </w:rPr>
              <w:t>工程建设未按约定如期开工，项目监控有效性不足</w:t>
            </w:r>
          </w:p>
          <w:p>
            <w:pPr>
              <w:adjustRightInd w:val="0"/>
              <w:snapToGrid w:val="0"/>
              <w:spacing w:line="560" w:lineRule="exact"/>
              <w:ind w:firstLine="560" w:firstLineChars="200"/>
              <w:textAlignment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依据项目实施单位山丹县霍城河水利管理处与甘肃中水土木建设工程有限公司签订的《山丹县霍城河灌区节水改造工程施工合同》，施工合同</w:t>
            </w:r>
            <w:r>
              <w:rPr>
                <w:rFonts w:hint="eastAsia" w:ascii="仿宋" w:hAnsi="仿宋" w:eastAsia="仿宋" w:cs="仿宋"/>
                <w:color w:val="auto"/>
                <w:sz w:val="28"/>
                <w:szCs w:val="28"/>
                <w:lang w:val="en-US" w:eastAsia="zh-CN"/>
              </w:rPr>
              <w:t>中约定</w:t>
            </w:r>
            <w:r>
              <w:rPr>
                <w:rFonts w:hint="eastAsia" w:ascii="仿宋" w:hAnsi="仿宋" w:eastAsia="仿宋" w:cs="仿宋"/>
                <w:color w:val="auto"/>
                <w:sz w:val="28"/>
                <w:szCs w:val="28"/>
              </w:rPr>
              <w:t>开工日期为2022年11月9日，完工时间为2024年11月9日。经核查，项目于2023年4月24日开工建设，实际开工时间较</w:t>
            </w:r>
            <w:r>
              <w:rPr>
                <w:rFonts w:hint="eastAsia" w:ascii="仿宋" w:hAnsi="仿宋" w:eastAsia="仿宋" w:cs="仿宋"/>
                <w:color w:val="auto"/>
                <w:sz w:val="28"/>
                <w:szCs w:val="28"/>
                <w:lang w:val="en-US" w:eastAsia="zh-CN"/>
              </w:rPr>
              <w:t>约定</w:t>
            </w:r>
            <w:r>
              <w:rPr>
                <w:rFonts w:hint="eastAsia" w:ascii="仿宋" w:hAnsi="仿宋" w:eastAsia="仿宋" w:cs="仿宋"/>
                <w:color w:val="auto"/>
                <w:sz w:val="28"/>
                <w:szCs w:val="28"/>
              </w:rPr>
              <w:t>开工时间推迟五个月，</w:t>
            </w:r>
            <w:r>
              <w:rPr>
                <w:rFonts w:hint="eastAsia" w:ascii="仿宋" w:hAnsi="仿宋" w:eastAsia="仿宋" w:cs="仿宋"/>
                <w:color w:val="auto"/>
                <w:sz w:val="28"/>
                <w:szCs w:val="28"/>
                <w:lang w:val="en-US" w:eastAsia="zh-CN"/>
              </w:rPr>
              <w:t>项目开工时间</w:t>
            </w:r>
            <w:r>
              <w:rPr>
                <w:rFonts w:hint="eastAsia" w:ascii="仿宋" w:hAnsi="仿宋" w:eastAsia="仿宋" w:cs="仿宋"/>
                <w:color w:val="auto"/>
                <w:sz w:val="28"/>
                <w:szCs w:val="28"/>
              </w:rPr>
              <w:t>未按</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rPr>
              <w:t>合同签订时间及时开展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导致</w:t>
            </w:r>
            <w:r>
              <w:rPr>
                <w:rFonts w:hint="eastAsia" w:ascii="仿宋" w:hAnsi="仿宋" w:eastAsia="仿宋" w:cs="仿宋"/>
                <w:color w:val="auto"/>
                <w:sz w:val="28"/>
                <w:szCs w:val="28"/>
              </w:rPr>
              <w:t>项目</w:t>
            </w:r>
            <w:r>
              <w:rPr>
                <w:rFonts w:hint="eastAsia" w:ascii="仿宋" w:hAnsi="仿宋" w:eastAsia="仿宋" w:cs="仿宋"/>
                <w:color w:val="auto"/>
                <w:sz w:val="28"/>
                <w:szCs w:val="28"/>
                <w:lang w:val="en-US" w:eastAsia="zh-CN"/>
              </w:rPr>
              <w:t>建设</w:t>
            </w:r>
            <w:r>
              <w:rPr>
                <w:rFonts w:hint="eastAsia" w:ascii="仿宋" w:hAnsi="仿宋" w:eastAsia="仿宋" w:cs="仿宋"/>
                <w:color w:val="auto"/>
                <w:sz w:val="28"/>
                <w:szCs w:val="28"/>
              </w:rPr>
              <w:t>不及时。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562" w:firstLineChars="200"/>
              <w:jc w:val="both"/>
              <w:textAlignment w:val="auto"/>
              <w:outlineLvl w:val="1"/>
              <w:rPr>
                <w:rFonts w:hint="eastAsia" w:ascii="仿宋" w:hAnsi="仿宋" w:eastAsia="仿宋" w:cs="仿宋"/>
                <w:b/>
                <w:bCs/>
                <w:color w:val="auto"/>
                <w:sz w:val="32"/>
                <w:szCs w:val="32"/>
                <w:lang w:val="en-US" w:eastAsia="zh-CN" w:bidi="ar-SA"/>
              </w:rPr>
            </w:pPr>
            <w:r>
              <w:rPr>
                <w:rFonts w:hint="eastAsia" w:ascii="仿宋" w:hAnsi="仿宋" w:eastAsia="仿宋" w:cs="仿宋"/>
                <w:b/>
                <w:bCs w:val="0"/>
                <w:color w:val="auto"/>
                <w:sz w:val="28"/>
                <w:szCs w:val="28"/>
                <w:lang w:val="en-US" w:eastAsia="zh-CN"/>
              </w:rPr>
              <w:t>（五）</w:t>
            </w:r>
            <w:bookmarkEnd w:id="4"/>
            <w:r>
              <w:rPr>
                <w:rFonts w:hint="eastAsia" w:ascii="仿宋" w:hAnsi="仿宋" w:eastAsia="仿宋" w:cs="仿宋"/>
                <w:b/>
                <w:bCs w:val="0"/>
                <w:color w:val="auto"/>
                <w:sz w:val="28"/>
                <w:szCs w:val="28"/>
                <w:lang w:val="en-US" w:eastAsia="zh-CN"/>
              </w:rPr>
              <w:t>项目未按专项债券还本付息资金归集协议规定时间及时偿还本息</w:t>
            </w:r>
          </w:p>
          <w:p>
            <w:pPr>
              <w:adjustRightInd w:val="0"/>
              <w:snapToGrid w:val="0"/>
              <w:spacing w:line="560" w:lineRule="exact"/>
              <w:ind w:firstLine="560" w:firstLineChars="200"/>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2023年3月23日，山丹县财政局与山丹县水务局签订《山丹县2023年专项债券还本付息资金归集协议》（山丹县〔2023〕1号），协议金额为2023年甘肃省政府专项债券资金4,000.00万元，使用及存续期限为20年（起始日期为2023年3月27日，于2043年止），年利率3.23%。在该笔债券使用期限内，于2023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2042年每年3月27日前将还本付息资金（每年329.20万元，其中：本金200.00万元、利息129.20万元）支付归集至指定财政账户。</w:t>
            </w:r>
          </w:p>
          <w:p>
            <w:pPr>
              <w:adjustRightInd w:val="0"/>
              <w:snapToGrid w:val="0"/>
              <w:spacing w:line="560" w:lineRule="exact"/>
              <w:ind w:firstLine="560" w:firstLineChars="200"/>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2023年5月19日，山丹县财政局与山丹县水务局签订了《山丹县2023年专项债券还本付息资金归集协议》（山丹县〔2023〕3号），协议金额为2023年甘肃省政府专项债券资金1,000.00万元，使用及存续期限为20年（起始日期为2023年5月19日，于2043年止），年利率3.1%。在该笔债券使用期限内，于2023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2042年每年5月19日前将还本付息资金（每年81.00万元，其中：本金50.00万元、利息31.00万元）支付归集至指定财政账户。</w:t>
            </w:r>
          </w:p>
          <w:p>
            <w:pPr>
              <w:adjustRightInd w:val="0"/>
              <w:snapToGrid w:val="0"/>
              <w:spacing w:line="560" w:lineRule="exact"/>
              <w:ind w:firstLine="560" w:firstLineChars="200"/>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截至2024年9月末，山丹县水务局尚未偿还2024年度专项债券本息。</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641" w:hRule="atLeast"/>
        </w:trPr>
        <w:tc>
          <w:tcPr>
            <w:tcW w:w="10088" w:type="dxa"/>
            <w:tcBorders>
              <w:tl2br w:val="nil"/>
              <w:tr2bl w:val="nil"/>
            </w:tcBorders>
            <w:noWrap w:val="0"/>
            <w:vAlign w:val="center"/>
          </w:tcPr>
          <w:p>
            <w:pPr>
              <w:keepNext w:val="0"/>
              <w:keepLines w:val="0"/>
              <w:pageBreakBefore w:val="0"/>
              <w:widowControl/>
              <w:tabs>
                <w:tab w:val="left" w:pos="3772"/>
              </w:tabs>
              <w:kinsoku w:val="0"/>
              <w:wordWrap/>
              <w:overflowPunct/>
              <w:topLinePunct w:val="0"/>
              <w:autoSpaceDE w:val="0"/>
              <w:autoSpaceDN w:val="0"/>
              <w:bidi w:val="0"/>
              <w:adjustRightInd w:val="0"/>
              <w:snapToGrid w:val="0"/>
              <w:spacing w:before="0" w:beforeLines="80" w:after="0" w:afterLines="80" w:line="560" w:lineRule="exact"/>
              <w:jc w:val="center"/>
              <w:textAlignment w:val="baseline"/>
              <w:rPr>
                <w:rFonts w:hint="eastAsia" w:ascii="仿宋" w:hAnsi="仿宋" w:eastAsia="仿宋" w:cs="仿宋"/>
                <w:color w:val="auto"/>
                <w:sz w:val="28"/>
                <w:szCs w:val="28"/>
                <w:lang w:eastAsia="zh-CN"/>
              </w:rPr>
            </w:pPr>
            <w:r>
              <w:rPr>
                <w:rFonts w:hint="eastAsia" w:ascii="仿宋" w:hAnsi="仿宋" w:eastAsia="仿宋" w:cs="仿宋"/>
                <w:b/>
                <w:bCs/>
                <w:snapToGrid/>
                <w:color w:val="auto"/>
                <w:kern w:val="2"/>
                <w:sz w:val="28"/>
                <w:szCs w:val="28"/>
                <w:highlight w:val="none"/>
                <w:lang w:val="en-US" w:eastAsia="en-US" w:bidi="ar-SA"/>
              </w:rPr>
              <w:t>六、有关对策建议</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6332" w:hRule="atLeast"/>
        </w:trPr>
        <w:tc>
          <w:tcPr>
            <w:tcW w:w="10088" w:type="dxa"/>
            <w:tcBorders>
              <w:tl2br w:val="nil"/>
              <w:tr2bl w:val="nil"/>
            </w:tcBorders>
            <w:noWrap w:val="0"/>
            <w:vAlign w:val="top"/>
          </w:tcPr>
          <w:p>
            <w:pPr>
              <w:pStyle w:val="2"/>
              <w:keepNext/>
              <w:keepLines/>
              <w:pageBreakBefore w:val="0"/>
              <w:widowControl/>
              <w:kinsoku/>
              <w:wordWrap/>
              <w:overflowPunct/>
              <w:topLinePunct w:val="0"/>
              <w:autoSpaceDE/>
              <w:autoSpaceDN/>
              <w:bidi w:val="0"/>
              <w:adjustRightInd/>
              <w:snapToGrid/>
              <w:spacing w:before="0" w:beforeLines="0" w:after="0" w:afterLines="0" w:line="560" w:lineRule="exact"/>
              <w:ind w:firstLine="643"/>
              <w:jc w:val="left"/>
              <w:textAlignment w:val="baseline"/>
              <w:rPr>
                <w:rFonts w:hint="eastAsia" w:ascii="仿宋" w:hAnsi="仿宋" w:eastAsia="仿宋" w:cs="仿宋"/>
                <w:b/>
                <w:bCs/>
                <w:color w:val="auto"/>
                <w:sz w:val="28"/>
                <w:szCs w:val="28"/>
                <w:lang w:val="en-US" w:eastAsia="zh-CN"/>
              </w:rPr>
            </w:pPr>
            <w:bookmarkStart w:id="5" w:name="_Toc31431"/>
            <w:bookmarkStart w:id="6" w:name="_Toc31531"/>
            <w:r>
              <w:rPr>
                <w:rFonts w:hint="eastAsia" w:ascii="仿宋" w:hAnsi="仿宋" w:eastAsia="仿宋" w:cs="仿宋"/>
                <w:b/>
                <w:bCs/>
                <w:color w:val="auto"/>
                <w:sz w:val="28"/>
                <w:szCs w:val="28"/>
                <w:lang w:val="en-US" w:eastAsia="zh-CN"/>
              </w:rPr>
              <w:t>（一）</w:t>
            </w:r>
            <w:bookmarkEnd w:id="5"/>
            <w:bookmarkEnd w:id="6"/>
            <w:r>
              <w:rPr>
                <w:rFonts w:hint="eastAsia" w:ascii="仿宋" w:hAnsi="仿宋" w:eastAsia="仿宋" w:cs="仿宋"/>
                <w:b/>
                <w:bCs/>
                <w:color w:val="auto"/>
                <w:sz w:val="28"/>
                <w:szCs w:val="28"/>
                <w:lang w:val="en-US" w:eastAsia="zh-CN"/>
              </w:rPr>
              <w:t>提高绩效目标和绩效指标编制水平</w:t>
            </w:r>
          </w:p>
          <w:p>
            <w:pPr>
              <w:adjustRightInd w:val="0"/>
              <w:snapToGrid w:val="0"/>
              <w:spacing w:line="560" w:lineRule="exact"/>
              <w:ind w:firstLine="560" w:firstLineChars="200"/>
              <w:textAlignment w:val="center"/>
              <w:rPr>
                <w:rFonts w:hint="eastAsia" w:ascii="仿宋_GB2312" w:hAnsi="仿宋_GB2312" w:eastAsia="仿宋_GB2312" w:cs="仿宋_GB2312"/>
                <w:color w:val="auto"/>
                <w:sz w:val="28"/>
                <w:szCs w:val="28"/>
                <w:highlight w:val="none"/>
                <w:u w:val="none"/>
                <w:lang w:val="en-US" w:eastAsia="zh-CN"/>
              </w:rPr>
            </w:pPr>
            <w:r>
              <w:rPr>
                <w:rFonts w:hint="eastAsia" w:ascii="仿宋" w:hAnsi="仿宋" w:eastAsia="仿宋" w:cs="仿宋"/>
                <w:color w:val="auto"/>
                <w:sz w:val="28"/>
                <w:szCs w:val="28"/>
                <w:lang w:val="en-US" w:eastAsia="zh-CN"/>
              </w:rPr>
              <w:t>建议根据《财政部关于印发〈地方政府专项债券项目资金绩效管理办法〉的通知》（财预〔2021〕61号）、《甘肃省财政厅关于印发〈甘肃省政府专项债券项目资金绩效管理办法〉的通知》（甘财预〔2021〕54号）等文件要求，科学设置绩效目标和指标，按照全面实施预算绩效管理的要求，进一步增强绩效管理主体责任意识，充分结合项目实际情况，科学设置绩效目标，充分量化、细化各项绩效指标，建立合理的绩效指标体系，提升项目任务、资金与相关目标和指标的匹配度，强化绩效管理能力。建议全面了解项目的产出和效益情况，加强对项目绩效审核规范性，为后期绩效评价打下良好基础，确保项目预期产出和效益的顺利完成。建议加大绩效培训力度，提高绩效工作的重视程度，强化对绩效基本概念的理解，正确区分项目类型，提高绩效目标及指标填写规范性，进而提高整体绩效工作质量。更好地发挥绩效目标的引导作用。</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562" w:firstLineChars="200"/>
              <w:jc w:val="both"/>
              <w:textAlignment w:val="auto"/>
              <w:outlineLvl w:val="1"/>
              <w:rPr>
                <w:rFonts w:hint="eastAsia" w:ascii="仿宋" w:hAnsi="仿宋" w:eastAsia="仿宋" w:cs="仿宋"/>
                <w:b/>
                <w:bCs/>
                <w:snapToGrid w:val="0"/>
                <w:color w:val="auto"/>
                <w:kern w:val="0"/>
                <w:sz w:val="28"/>
                <w:szCs w:val="28"/>
                <w:lang w:val="en-US" w:eastAsia="zh-CN" w:bidi="ar-SA"/>
              </w:rPr>
            </w:pPr>
            <w:bookmarkStart w:id="7" w:name="_Toc24316"/>
            <w:r>
              <w:rPr>
                <w:rFonts w:hint="eastAsia" w:ascii="仿宋" w:hAnsi="仿宋" w:eastAsia="仿宋" w:cs="仿宋"/>
                <w:b/>
                <w:bCs/>
                <w:snapToGrid w:val="0"/>
                <w:color w:val="auto"/>
                <w:kern w:val="0"/>
                <w:sz w:val="28"/>
                <w:szCs w:val="28"/>
                <w:lang w:val="en-US" w:eastAsia="zh-CN" w:bidi="ar-SA"/>
              </w:rPr>
              <w:t>（二）</w:t>
            </w:r>
            <w:bookmarkEnd w:id="7"/>
            <w:r>
              <w:rPr>
                <w:rFonts w:hint="eastAsia" w:ascii="仿宋" w:hAnsi="仿宋" w:eastAsia="仿宋" w:cs="仿宋"/>
                <w:b/>
                <w:bCs/>
                <w:snapToGrid w:val="0"/>
                <w:color w:val="auto"/>
                <w:kern w:val="0"/>
                <w:sz w:val="28"/>
                <w:szCs w:val="28"/>
                <w:lang w:val="en-US" w:eastAsia="zh-CN" w:bidi="ar-SA"/>
              </w:rPr>
              <w:t>规范填写项目合同内容，提高项目管理水平</w:t>
            </w:r>
          </w:p>
          <w:p>
            <w:pPr>
              <w:adjustRightInd w:val="0"/>
              <w:snapToGrid w:val="0"/>
              <w:spacing w:line="560" w:lineRule="exact"/>
              <w:ind w:firstLine="560" w:firstLineChars="200"/>
              <w:textAlignment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规范填写项目合同，具体包括项目实施内容、合同履行期限、付款方式和结算周期、合同变更和争议解决程序等内容。通过明确合同的规定付款方式、款项的结算周期及支付条件，并严格按照合同约定或实施进度付款，可避免造成财务风险，确保合同的完整性和合法性；提高项目管理水平，明确项目管理职责，依据合同约定的项目履行期限以及各阶段的完成时间，以便于项目进度管理和监督。</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562" w:firstLineChars="200"/>
              <w:jc w:val="both"/>
              <w:textAlignment w:val="auto"/>
              <w:outlineLvl w:val="1"/>
              <w:rPr>
                <w:rFonts w:hint="eastAsia" w:ascii="仿宋" w:hAnsi="仿宋" w:eastAsia="仿宋" w:cs="仿宋"/>
                <w:b/>
                <w:bCs/>
                <w:snapToGrid w:val="0"/>
                <w:color w:val="auto"/>
                <w:kern w:val="0"/>
                <w:sz w:val="28"/>
                <w:szCs w:val="28"/>
                <w:lang w:val="en-US" w:eastAsia="zh-CN" w:bidi="ar-SA"/>
              </w:rPr>
            </w:pPr>
            <w:bookmarkStart w:id="8" w:name="_Toc12421"/>
            <w:r>
              <w:rPr>
                <w:rFonts w:hint="eastAsia" w:ascii="仿宋" w:hAnsi="仿宋" w:eastAsia="仿宋" w:cs="仿宋"/>
                <w:b/>
                <w:bCs/>
                <w:snapToGrid w:val="0"/>
                <w:color w:val="auto"/>
                <w:kern w:val="0"/>
                <w:sz w:val="28"/>
                <w:szCs w:val="28"/>
                <w:lang w:val="en-US" w:eastAsia="zh-CN" w:bidi="ar-SA"/>
              </w:rPr>
              <w:t>（三）加强项目实施管理，加快项目实施进度</w:t>
            </w:r>
            <w:bookmarkEnd w:id="8"/>
          </w:p>
          <w:p>
            <w:pPr>
              <w:pStyle w:val="4"/>
              <w:keepNext w:val="0"/>
              <w:keepLines w:val="0"/>
              <w:pageBreakBefore w:val="0"/>
              <w:widowControl w:val="0"/>
              <w:kinsoku/>
              <w:wordWrap/>
              <w:overflowPunct/>
              <w:topLinePunct w:val="0"/>
              <w:bidi w:val="0"/>
              <w:adjustRightInd/>
              <w:snapToGrid/>
              <w:spacing w:after="0" w:afterLines="0" w:line="560" w:lineRule="exact"/>
              <w:ind w:leftChars="0" w:firstLine="560" w:firstLineChars="200"/>
              <w:textAlignment w:val="auto"/>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进一步加强项目管理，加快项目执行进度，强化项目推进力度，完善项目推进机制，加强对项目的跟踪检查，及时了解项目执行情况，掌握各个项目投资进度、实施进度、产出效益目标实现情况，根据项目实施方案合理安排预算资金，保障项目按计划进度有效实施。</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562" w:firstLineChars="200"/>
              <w:jc w:val="both"/>
              <w:textAlignment w:val="auto"/>
              <w:outlineLvl w:val="1"/>
              <w:rPr>
                <w:rFonts w:hint="eastAsia" w:ascii="仿宋" w:hAnsi="仿宋" w:eastAsia="仿宋" w:cs="仿宋"/>
                <w:b/>
                <w:bCs/>
                <w:snapToGrid w:val="0"/>
                <w:color w:val="auto"/>
                <w:kern w:val="0"/>
                <w:sz w:val="28"/>
                <w:szCs w:val="28"/>
                <w:lang w:val="en-US" w:eastAsia="zh-CN" w:bidi="ar-SA"/>
              </w:rPr>
            </w:pPr>
            <w:bookmarkStart w:id="9" w:name="_Toc25761"/>
            <w:r>
              <w:rPr>
                <w:rFonts w:hint="eastAsia" w:ascii="仿宋" w:hAnsi="仿宋" w:eastAsia="仿宋" w:cs="仿宋"/>
                <w:b/>
                <w:bCs/>
                <w:snapToGrid w:val="0"/>
                <w:color w:val="auto"/>
                <w:kern w:val="0"/>
                <w:sz w:val="28"/>
                <w:szCs w:val="28"/>
                <w:lang w:val="en-US" w:eastAsia="zh-CN" w:bidi="ar-SA"/>
              </w:rPr>
              <w:t>（四）严格执行约定，及时还本付息</w:t>
            </w:r>
            <w:bookmarkEnd w:id="9"/>
          </w:p>
          <w:p>
            <w:pPr>
              <w:adjustRightInd w:val="0"/>
              <w:snapToGrid w:val="0"/>
              <w:spacing w:line="560" w:lineRule="exact"/>
              <w:ind w:firstLine="560" w:firstLineChars="200"/>
              <w:rPr>
                <w:rFonts w:hint="eastAsia" w:ascii="仿宋" w:hAnsi="仿宋" w:eastAsia="仿宋" w:cs="仿宋"/>
                <w:b w:val="0"/>
                <w:snapToGrid w:val="0"/>
                <w:color w:val="auto"/>
                <w:kern w:val="0"/>
                <w:sz w:val="28"/>
                <w:szCs w:val="28"/>
                <w:lang w:val="en-US" w:eastAsia="zh-CN" w:bidi="ar"/>
              </w:rPr>
            </w:pPr>
            <w:r>
              <w:rPr>
                <w:rFonts w:hint="eastAsia" w:ascii="仿宋" w:hAnsi="仿宋" w:eastAsia="仿宋" w:cs="仿宋"/>
                <w:color w:val="auto"/>
                <w:sz w:val="28"/>
                <w:szCs w:val="28"/>
                <w:lang w:val="en-US" w:eastAsia="zh-CN"/>
              </w:rPr>
              <w:t>建议项目实施单位切实履行专项债券资金本息偿还义务，严格按照《山丹县2023年专项债券还本付息资金归集协议》约定的时间偿还本息，制定跟踪资金流和准备风险管理措施，及时应对可能出现的还款风险。根据专项债偿还计划和实际情况提前做好还款准备，避免再次出现不能按期偿还的情况。</w:t>
            </w:r>
            <w:bookmarkStart w:id="10" w:name="_GoBack"/>
            <w:bookmarkEnd w:id="10"/>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0" w:hRule="atLeast"/>
        </w:trPr>
        <w:tc>
          <w:tcPr>
            <w:tcW w:w="10088"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0" w:beforeLines="80" w:after="0" w:afterLines="80" w:line="560" w:lineRule="exact"/>
              <w:ind w:right="0"/>
              <w:jc w:val="center"/>
              <w:textAlignment w:val="baseline"/>
              <w:rPr>
                <w:rFonts w:hint="eastAsia" w:ascii="仿宋" w:hAnsi="仿宋" w:eastAsia="仿宋" w:cs="仿宋"/>
                <w:color w:val="auto"/>
                <w:sz w:val="28"/>
                <w:szCs w:val="28"/>
              </w:rPr>
            </w:pPr>
            <w:r>
              <w:rPr>
                <w:rFonts w:hint="eastAsia" w:ascii="仿宋" w:hAnsi="仿宋" w:eastAsia="仿宋" w:cs="仿宋"/>
                <w:b/>
                <w:bCs/>
                <w:snapToGrid/>
                <w:color w:val="auto"/>
                <w:kern w:val="2"/>
                <w:sz w:val="28"/>
                <w:szCs w:val="28"/>
                <w:highlight w:val="none"/>
                <w:lang w:val="en-US" w:eastAsia="zh-CN" w:bidi="ar-SA"/>
              </w:rPr>
              <w:t>七、其他需要说明的事项</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3805" w:hRule="atLeast"/>
        </w:trPr>
        <w:tc>
          <w:tcPr>
            <w:tcW w:w="10088"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jc w:val="left"/>
              <w:textAlignment w:val="baseline"/>
              <w:rPr>
                <w:rFonts w:hint="eastAsia" w:ascii="仿宋" w:hAnsi="仿宋" w:eastAsia="仿宋" w:cs="仿宋"/>
                <w:color w:val="auto"/>
                <w:sz w:val="28"/>
                <w:szCs w:val="28"/>
                <w:lang w:val="en-US" w:eastAsia="zh-CN"/>
              </w:rPr>
            </w:pPr>
            <w:r>
              <w:rPr>
                <w:rFonts w:hint="eastAsia" w:ascii="仿宋" w:hAnsi="仿宋" w:eastAsia="仿宋" w:cs="仿宋"/>
                <w:bCs/>
                <w:snapToGrid/>
                <w:color w:val="auto"/>
                <w:kern w:val="2"/>
                <w:sz w:val="28"/>
                <w:szCs w:val="28"/>
                <w:highlight w:val="none"/>
                <w:lang w:val="en-US" w:eastAsia="zh-CN" w:bidi="ar-SA"/>
              </w:rPr>
              <w:t>本绩效评价报告是在被评价单位提供项目评价资料基础上经核实、分析完成的，被评价单位对所提供资料的合法性、真实性、完整性负责。</w:t>
            </w:r>
          </w:p>
        </w:tc>
      </w:tr>
    </w:tbl>
    <w:p>
      <w:pPr>
        <w:rPr>
          <w:rFonts w:hint="eastAsia" w:ascii="仿宋" w:hAnsi="仿宋" w:eastAsia="仿宋" w:cs="仿宋"/>
          <w:color w:val="7030A0"/>
          <w:sz w:val="28"/>
          <w:szCs w:val="28"/>
        </w:rPr>
      </w:pPr>
    </w:p>
    <w:sectPr>
      <w:footerReference r:id="rId5" w:type="default"/>
      <w:type w:val="continuous"/>
      <w:pgSz w:w="11907" w:h="16839"/>
      <w:pgMar w:top="1440" w:right="1803" w:bottom="1440" w:left="1803" w:header="0" w:footer="974"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光小标宋_CNKI">
    <w:altName w:val="方正小标宋简体"/>
    <w:panose1 w:val="000000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125"/>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16104"/>
    <w:multiLevelType w:val="singleLevel"/>
    <w:tmpl w:val="91B1610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14290032-67c0-45ae-aa1c-817a71eb74ea"/>
  </w:docVars>
  <w:rsids>
    <w:rsidRoot w:val="EB8BCB84"/>
    <w:rsid w:val="006D0CE9"/>
    <w:rsid w:val="01BD1ED7"/>
    <w:rsid w:val="03C97144"/>
    <w:rsid w:val="042F5732"/>
    <w:rsid w:val="04C74740"/>
    <w:rsid w:val="04E92477"/>
    <w:rsid w:val="0519214F"/>
    <w:rsid w:val="05404C1F"/>
    <w:rsid w:val="093F51ED"/>
    <w:rsid w:val="0A195A3E"/>
    <w:rsid w:val="0AEC6CAF"/>
    <w:rsid w:val="0C0A1AE2"/>
    <w:rsid w:val="0C281F69"/>
    <w:rsid w:val="0EDE003B"/>
    <w:rsid w:val="0FA025B5"/>
    <w:rsid w:val="10F81FEF"/>
    <w:rsid w:val="118222EB"/>
    <w:rsid w:val="11D0732A"/>
    <w:rsid w:val="144B0EEA"/>
    <w:rsid w:val="154E54AD"/>
    <w:rsid w:val="155142DE"/>
    <w:rsid w:val="158F12AA"/>
    <w:rsid w:val="16C208F0"/>
    <w:rsid w:val="17B133ED"/>
    <w:rsid w:val="17F07902"/>
    <w:rsid w:val="19E27BFB"/>
    <w:rsid w:val="1A252036"/>
    <w:rsid w:val="1AE2736B"/>
    <w:rsid w:val="1BF105C9"/>
    <w:rsid w:val="1C5202B2"/>
    <w:rsid w:val="1D3B15DF"/>
    <w:rsid w:val="1DB146C7"/>
    <w:rsid w:val="1DC47C25"/>
    <w:rsid w:val="1F7C5EDE"/>
    <w:rsid w:val="1FBC0EEE"/>
    <w:rsid w:val="21B67A0A"/>
    <w:rsid w:val="21C27070"/>
    <w:rsid w:val="233745DA"/>
    <w:rsid w:val="237C44C9"/>
    <w:rsid w:val="254A6F19"/>
    <w:rsid w:val="25951FC5"/>
    <w:rsid w:val="26681488"/>
    <w:rsid w:val="26804A23"/>
    <w:rsid w:val="27851FE9"/>
    <w:rsid w:val="29A7721D"/>
    <w:rsid w:val="2A836EE1"/>
    <w:rsid w:val="2B524962"/>
    <w:rsid w:val="2B65243A"/>
    <w:rsid w:val="2C5129BE"/>
    <w:rsid w:val="2CAA7CB9"/>
    <w:rsid w:val="2D5032AF"/>
    <w:rsid w:val="301B2870"/>
    <w:rsid w:val="329F3D86"/>
    <w:rsid w:val="33D24C3B"/>
    <w:rsid w:val="379F4F25"/>
    <w:rsid w:val="395272CE"/>
    <w:rsid w:val="3A846850"/>
    <w:rsid w:val="3A96260F"/>
    <w:rsid w:val="3AAC47D9"/>
    <w:rsid w:val="3BF30E10"/>
    <w:rsid w:val="3DF5764D"/>
    <w:rsid w:val="3DF96E3A"/>
    <w:rsid w:val="3E034904"/>
    <w:rsid w:val="3E043B06"/>
    <w:rsid w:val="3E554590"/>
    <w:rsid w:val="3E5F71BC"/>
    <w:rsid w:val="3F5605BF"/>
    <w:rsid w:val="40550877"/>
    <w:rsid w:val="40CF5B82"/>
    <w:rsid w:val="41596145"/>
    <w:rsid w:val="41742F7F"/>
    <w:rsid w:val="41F1172B"/>
    <w:rsid w:val="42CE4911"/>
    <w:rsid w:val="45165AC9"/>
    <w:rsid w:val="46B67B95"/>
    <w:rsid w:val="473D3E13"/>
    <w:rsid w:val="4A612F25"/>
    <w:rsid w:val="4ACE1952"/>
    <w:rsid w:val="4B7B6F67"/>
    <w:rsid w:val="4BE2580E"/>
    <w:rsid w:val="4C536E11"/>
    <w:rsid w:val="4C8B0FC9"/>
    <w:rsid w:val="4FE614EB"/>
    <w:rsid w:val="507C3BFE"/>
    <w:rsid w:val="533B66A0"/>
    <w:rsid w:val="54C94F38"/>
    <w:rsid w:val="55DD5CAC"/>
    <w:rsid w:val="569577C7"/>
    <w:rsid w:val="5827444F"/>
    <w:rsid w:val="5966544B"/>
    <w:rsid w:val="59741916"/>
    <w:rsid w:val="5A06687E"/>
    <w:rsid w:val="5B502A67"/>
    <w:rsid w:val="5C0056E3"/>
    <w:rsid w:val="5C58107B"/>
    <w:rsid w:val="5C5A1D6F"/>
    <w:rsid w:val="5C606182"/>
    <w:rsid w:val="5CA93FCD"/>
    <w:rsid w:val="60685B12"/>
    <w:rsid w:val="60E1681F"/>
    <w:rsid w:val="60E173FF"/>
    <w:rsid w:val="62BA0F02"/>
    <w:rsid w:val="62C37595"/>
    <w:rsid w:val="635614A3"/>
    <w:rsid w:val="64E01D08"/>
    <w:rsid w:val="657C54B2"/>
    <w:rsid w:val="66AA4946"/>
    <w:rsid w:val="66D24120"/>
    <w:rsid w:val="67400CBE"/>
    <w:rsid w:val="680A0523"/>
    <w:rsid w:val="69847953"/>
    <w:rsid w:val="6A21323F"/>
    <w:rsid w:val="6AFE3735"/>
    <w:rsid w:val="6D1F7E14"/>
    <w:rsid w:val="6D604233"/>
    <w:rsid w:val="6E0B57D9"/>
    <w:rsid w:val="6E0E1EE1"/>
    <w:rsid w:val="70164259"/>
    <w:rsid w:val="70CE2921"/>
    <w:rsid w:val="735D13BE"/>
    <w:rsid w:val="74F769B5"/>
    <w:rsid w:val="75F06371"/>
    <w:rsid w:val="7656538B"/>
    <w:rsid w:val="7682346D"/>
    <w:rsid w:val="76C95DCD"/>
    <w:rsid w:val="79D6176A"/>
    <w:rsid w:val="7A9B7C9C"/>
    <w:rsid w:val="7AAA27D0"/>
    <w:rsid w:val="7BA548EF"/>
    <w:rsid w:val="7D2C317F"/>
    <w:rsid w:val="7EC860DC"/>
    <w:rsid w:val="7F17671C"/>
    <w:rsid w:val="7F4F6256"/>
    <w:rsid w:val="7F743B6E"/>
    <w:rsid w:val="7FCA19E0"/>
    <w:rsid w:val="EB8BCB84"/>
    <w:rsid w:val="FB3984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keepNext/>
      <w:keepLines/>
      <w:adjustRightInd w:val="0"/>
      <w:snapToGrid w:val="0"/>
      <w:spacing w:line="560" w:lineRule="exact"/>
      <w:ind w:firstLine="960" w:firstLineChars="200"/>
      <w:jc w:val="left"/>
      <w:outlineLvl w:val="1"/>
    </w:pPr>
    <w:rPr>
      <w:rFonts w:ascii="楷体_GB2312" w:hAnsi="楷体_GB2312" w:eastAsia="楷体_GB2312" w:cs="Times New Roman"/>
      <w:b/>
    </w:rPr>
  </w:style>
  <w:style w:type="paragraph" w:styleId="3">
    <w:name w:val="heading 6"/>
    <w:basedOn w:val="1"/>
    <w:next w:val="1"/>
    <w:unhideWhenUsed/>
    <w:qFormat/>
    <w:uiPriority w:val="9"/>
    <w:pPr>
      <w:keepNext/>
      <w:keepLines/>
      <w:spacing w:line="360" w:lineRule="auto"/>
      <w:outlineLvl w:val="5"/>
    </w:pPr>
    <w:rPr>
      <w:rFonts w:ascii="Cambria" w:hAnsi="Cambria"/>
      <w:bCs/>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宋体" w:hAnsi="宋体" w:eastAsia="宋体" w:cs="宋体"/>
      <w:sz w:val="24"/>
      <w:lang w:val="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J正文"/>
    <w:basedOn w:val="1"/>
    <w:qFormat/>
    <w:uiPriority w:val="0"/>
    <w:pPr>
      <w:adjustRightInd w:val="0"/>
      <w:snapToGrid w:val="0"/>
      <w:spacing w:line="360" w:lineRule="auto"/>
      <w:ind w:firstLine="656"/>
    </w:pPr>
    <w:rPr>
      <w:rFonts w:cs="仿宋_GB2312"/>
      <w:snapToGrid w:val="0"/>
      <w:spacing w:val="4"/>
      <w:szCs w:val="32"/>
    </w:rPr>
  </w:style>
  <w:style w:type="paragraph" w:customStyle="1" w:styleId="12">
    <w:name w:val="Table Paragraph"/>
    <w:basedOn w:val="1"/>
    <w:qFormat/>
    <w:uiPriority w:val="1"/>
    <w:rPr>
      <w:rFonts w:ascii="仿宋" w:hAnsi="仿宋" w:cs="仿宋"/>
      <w:lang w:val="zh-CN" w:bidi="zh-CN"/>
    </w:rPr>
  </w:style>
  <w:style w:type="character" w:customStyle="1" w:styleId="13">
    <w:name w:val="样式1"/>
    <w:qFormat/>
    <w:uiPriority w:val="0"/>
    <w:rPr>
      <w:rFonts w:ascii="华光小标宋_CNKI" w:hAnsi="华光小标宋_CNKI" w:eastAsia="华光小标宋_CNKI"/>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3872</Words>
  <Characters>4210</Characters>
  <Lines>0</Lines>
  <Paragraphs>0</Paragraphs>
  <TotalTime>294</TotalTime>
  <ScaleCrop>false</ScaleCrop>
  <LinksUpToDate>false</LinksUpToDate>
  <CharactersWithSpaces>4222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2024-08-27T23:00:00Z</dcterms:created>
  <dc:creator>清风明月</dc:creator>
  <cp:lastModifiedBy>uos</cp:lastModifiedBy>
  <dcterms:modified xsi:type="dcterms:W3CDTF">2024-12-24T16:16:08Z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89BD44957DF74F89ABA9B52DDECD4DA8_13</vt:lpwstr>
  </property>
</Properties>
</file>