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700" w:lineRule="exact"/>
        <w:jc w:val="center"/>
        <w:textAlignment w:val="auto"/>
        <w:rPr>
          <w:rFonts w:hint="eastAsia" w:ascii="黑体" w:hAnsi="黑体" w:eastAsia="黑体" w:cs="方正小标宋简体"/>
          <w:b/>
          <w:bCs/>
          <w:snapToGrid/>
          <w:kern w:val="2"/>
          <w:sz w:val="44"/>
          <w:szCs w:val="44"/>
          <w:lang w:eastAsia="zh-CN"/>
        </w:rPr>
      </w:pPr>
      <w:r>
        <w:rPr>
          <w:rFonts w:hint="eastAsia" w:ascii="黑体" w:hAnsi="黑体" w:eastAsia="黑体" w:cs="方正小标宋简体"/>
          <w:b/>
          <w:bCs/>
          <w:snapToGrid/>
          <w:kern w:val="2"/>
          <w:sz w:val="44"/>
          <w:szCs w:val="44"/>
          <w:lang w:eastAsia="zh-CN"/>
        </w:rPr>
        <w:t>山丹县寺沟河中型灌区续建配套与节水</w:t>
      </w:r>
      <w:r>
        <w:rPr>
          <w:rFonts w:hint="eastAsia" w:ascii="黑体" w:hAnsi="黑体" w:eastAsia="黑体" w:cs="方正小标宋简体"/>
          <w:b/>
          <w:bCs/>
          <w:snapToGrid/>
          <w:kern w:val="2"/>
          <w:sz w:val="44"/>
          <w:szCs w:val="44"/>
          <w:lang w:val="en-US" w:eastAsia="zh-CN"/>
        </w:rPr>
        <w:t>改</w:t>
      </w:r>
      <w:r>
        <w:rPr>
          <w:rFonts w:hint="eastAsia" w:ascii="黑体" w:hAnsi="黑体" w:eastAsia="黑体" w:cs="方正小标宋简体"/>
          <w:b/>
          <w:bCs/>
          <w:snapToGrid/>
          <w:kern w:val="2"/>
          <w:sz w:val="44"/>
          <w:szCs w:val="44"/>
          <w:lang w:eastAsia="zh-CN"/>
        </w:rPr>
        <w:t>造项目（</w:t>
      </w:r>
      <w:r>
        <w:rPr>
          <w:rFonts w:hint="eastAsia" w:ascii="黑体" w:hAnsi="黑体" w:eastAsia="黑体" w:cs="方正小标宋简体"/>
          <w:b/>
          <w:bCs/>
          <w:snapToGrid/>
          <w:kern w:val="2"/>
          <w:sz w:val="44"/>
          <w:szCs w:val="44"/>
          <w:lang w:val="en-US" w:eastAsia="zh-CN"/>
        </w:rPr>
        <w:t>一般公共预算</w:t>
      </w:r>
      <w:r>
        <w:rPr>
          <w:rFonts w:hint="eastAsia" w:ascii="黑体" w:hAnsi="黑体" w:eastAsia="黑体" w:cs="方正小标宋简体"/>
          <w:b/>
          <w:bCs/>
          <w:snapToGrid/>
          <w:kern w:val="2"/>
          <w:sz w:val="44"/>
          <w:szCs w:val="44"/>
          <w:lang w:eastAsia="zh-CN"/>
        </w:rPr>
        <w:t>项目）绩效评价报告</w:t>
      </w:r>
    </w:p>
    <w:p>
      <w:pPr>
        <w:widowControl w:val="0"/>
        <w:kinsoku/>
        <w:autoSpaceDE/>
        <w:autoSpaceDN/>
        <w:adjustRightInd/>
        <w:snapToGrid/>
        <w:spacing w:line="700" w:lineRule="exact"/>
        <w:jc w:val="center"/>
        <w:textAlignment w:val="auto"/>
        <w:rPr>
          <w:rFonts w:hint="eastAsia" w:ascii="黑体" w:hAnsi="黑体" w:eastAsia="黑体" w:cs="方正小标宋简体"/>
          <w:b/>
          <w:bCs/>
          <w:snapToGrid/>
          <w:kern w:val="2"/>
          <w:sz w:val="44"/>
          <w:szCs w:val="44"/>
          <w:lang w:eastAsia="zh-CN"/>
        </w:rPr>
      </w:pPr>
    </w:p>
    <w:p>
      <w:pPr>
        <w:pBdr>
          <w:top w:val="none" w:color="000000" w:sz="0" w:space="0"/>
        </w:pBdr>
        <w:kinsoku/>
        <w:autoSpaceDE/>
        <w:autoSpaceDN/>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一、项目基本情况</w:t>
      </w:r>
    </w:p>
    <w:p>
      <w:pPr>
        <w:spacing w:line="84" w:lineRule="exact"/>
        <w:rPr>
          <w:rFonts w:hint="eastAsia" w:ascii="仿宋" w:hAnsi="仿宋" w:eastAsia="仿宋" w:cs="仿宋"/>
          <w:sz w:val="28"/>
          <w:szCs w:val="28"/>
          <w:lang w:eastAsia="zh-CN"/>
        </w:rPr>
      </w:pPr>
    </w:p>
    <w:tbl>
      <w:tblPr>
        <w:tblStyle w:val="10"/>
        <w:tblW w:w="980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84"/>
        <w:gridCol w:w="2102"/>
        <w:gridCol w:w="1917"/>
        <w:gridCol w:w="515"/>
        <w:gridCol w:w="1612"/>
        <w:gridCol w:w="257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19" w:hRule="atLeast"/>
          <w:jc w:val="center"/>
        </w:trPr>
        <w:tc>
          <w:tcPr>
            <w:tcW w:w="1084" w:type="dxa"/>
            <w:vMerge w:val="restart"/>
            <w:tcBorders>
              <w:tl2br w:val="nil"/>
              <w:tr2bl w:val="nil"/>
            </w:tcBorders>
            <w:textDirection w:val="tbRlV"/>
            <w:vAlign w:val="center"/>
          </w:tcPr>
          <w:p>
            <w:pPr>
              <w:pStyle w:val="9"/>
              <w:spacing w:before="227" w:line="209" w:lineRule="auto"/>
              <w:ind w:left="583"/>
              <w:jc w:val="center"/>
              <w:rPr>
                <w:rFonts w:hint="eastAsia" w:ascii="仿宋" w:hAnsi="仿宋" w:eastAsia="仿宋" w:cs="仿宋"/>
                <w:b/>
                <w:bCs/>
                <w:snapToGrid/>
                <w:kern w:val="2"/>
                <w:sz w:val="28"/>
                <w:szCs w:val="28"/>
                <w:highlight w:val="none"/>
                <w:lang w:eastAsia="zh-CN"/>
              </w:rPr>
            </w:pPr>
            <w:r>
              <w:rPr>
                <w:rFonts w:hint="eastAsia" w:ascii="仿宋" w:hAnsi="仿宋" w:eastAsia="仿宋" w:cs="仿宋"/>
                <w:b/>
                <w:bCs/>
                <w:snapToGrid/>
                <w:kern w:val="2"/>
                <w:sz w:val="28"/>
                <w:szCs w:val="28"/>
                <w:highlight w:val="none"/>
                <w:lang w:eastAsia="zh-CN"/>
              </w:rPr>
              <w:t>基 本 情 况</w:t>
            </w:r>
          </w:p>
        </w:tc>
        <w:tc>
          <w:tcPr>
            <w:tcW w:w="2102" w:type="dxa"/>
            <w:tcBorders>
              <w:tl2br w:val="nil"/>
              <w:tr2bl w:val="nil"/>
            </w:tcBorders>
            <w:vAlign w:val="center"/>
          </w:tcPr>
          <w:p>
            <w:pPr>
              <w:pStyle w:val="9"/>
              <w:jc w:val="center"/>
              <w:rPr>
                <w:rFonts w:hint="eastAsia" w:ascii="仿宋" w:hAnsi="仿宋" w:eastAsia="仿宋" w:cs="仿宋"/>
                <w:b/>
                <w:bCs/>
                <w:snapToGrid/>
                <w:kern w:val="2"/>
                <w:sz w:val="28"/>
                <w:szCs w:val="28"/>
                <w:highlight w:val="none"/>
                <w:lang w:eastAsia="zh-CN"/>
              </w:rPr>
            </w:pPr>
            <w:r>
              <w:rPr>
                <w:rFonts w:hint="eastAsia" w:ascii="仿宋" w:hAnsi="仿宋" w:eastAsia="仿宋" w:cs="仿宋"/>
                <w:b/>
                <w:bCs/>
                <w:snapToGrid/>
                <w:kern w:val="2"/>
                <w:sz w:val="28"/>
                <w:szCs w:val="28"/>
                <w:highlight w:val="none"/>
                <w:lang w:eastAsia="zh-CN"/>
              </w:rPr>
              <w:t>项目名称</w:t>
            </w:r>
          </w:p>
        </w:tc>
        <w:tc>
          <w:tcPr>
            <w:tcW w:w="6621" w:type="dxa"/>
            <w:gridSpan w:val="4"/>
            <w:tcBorders>
              <w:tl2br w:val="nil"/>
              <w:tr2bl w:val="nil"/>
            </w:tcBorders>
            <w:vAlign w:val="center"/>
          </w:tcPr>
          <w:p>
            <w:pPr>
              <w:pStyle w:val="9"/>
              <w:jc w:val="center"/>
              <w:rPr>
                <w:rFonts w:hint="eastAsia" w:ascii="仿宋" w:hAnsi="仿宋" w:eastAsia="仿宋" w:cs="仿宋"/>
                <w:snapToGrid/>
                <w:kern w:val="2"/>
                <w:sz w:val="28"/>
                <w:szCs w:val="28"/>
                <w:highlight w:val="none"/>
                <w:lang w:eastAsia="zh-CN"/>
              </w:rPr>
            </w:pPr>
            <w:r>
              <w:rPr>
                <w:rFonts w:hint="eastAsia" w:ascii="仿宋" w:hAnsi="仿宋" w:eastAsia="仿宋" w:cs="仿宋"/>
                <w:snapToGrid/>
                <w:kern w:val="2"/>
                <w:sz w:val="28"/>
                <w:szCs w:val="28"/>
                <w:highlight w:val="none"/>
                <w:lang w:eastAsia="zh-CN"/>
              </w:rPr>
              <w:t>山丹县寺沟河中型灌区续建配套与节水</w:t>
            </w:r>
            <w:r>
              <w:rPr>
                <w:rFonts w:hint="eastAsia" w:ascii="仿宋" w:hAnsi="仿宋" w:eastAsia="仿宋" w:cs="仿宋"/>
                <w:snapToGrid/>
                <w:kern w:val="2"/>
                <w:sz w:val="28"/>
                <w:szCs w:val="28"/>
                <w:highlight w:val="none"/>
                <w:lang w:val="en-US" w:eastAsia="zh-CN"/>
              </w:rPr>
              <w:t>改造</w:t>
            </w:r>
            <w:r>
              <w:rPr>
                <w:rFonts w:hint="eastAsia" w:ascii="仿宋" w:hAnsi="仿宋" w:eastAsia="仿宋" w:cs="仿宋"/>
                <w:snapToGrid/>
                <w:kern w:val="2"/>
                <w:sz w:val="28"/>
                <w:szCs w:val="28"/>
                <w:highlight w:val="none"/>
                <w:lang w:eastAsia="zh-CN"/>
              </w:rPr>
              <w:t>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1084" w:type="dxa"/>
            <w:vMerge w:val="continue"/>
            <w:tcBorders>
              <w:tl2br w:val="nil"/>
              <w:tr2bl w:val="nil"/>
            </w:tcBorders>
            <w:textDirection w:val="tbRlV"/>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highlight w:val="none"/>
                <w:lang w:eastAsia="zh-CN"/>
              </w:rPr>
            </w:pPr>
          </w:p>
        </w:tc>
        <w:tc>
          <w:tcPr>
            <w:tcW w:w="2102"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highlight w:val="none"/>
                <w:lang w:eastAsia="zh-CN"/>
              </w:rPr>
            </w:pPr>
            <w:r>
              <w:rPr>
                <w:rFonts w:hint="eastAsia" w:ascii="仿宋" w:hAnsi="仿宋" w:eastAsia="仿宋" w:cs="仿宋"/>
                <w:b/>
                <w:bCs/>
                <w:snapToGrid/>
                <w:kern w:val="2"/>
                <w:sz w:val="28"/>
                <w:szCs w:val="28"/>
                <w:highlight w:val="none"/>
                <w:lang w:eastAsia="zh-CN"/>
              </w:rPr>
              <w:t>评价年度</w:t>
            </w:r>
          </w:p>
        </w:tc>
        <w:tc>
          <w:tcPr>
            <w:tcW w:w="1917"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highlight w:val="none"/>
                <w:lang w:eastAsia="zh-CN"/>
              </w:rPr>
            </w:pPr>
            <w:r>
              <w:rPr>
                <w:rFonts w:hint="eastAsia" w:ascii="仿宋" w:hAnsi="仿宋" w:eastAsia="仿宋" w:cs="仿宋"/>
                <w:snapToGrid/>
                <w:kern w:val="2"/>
                <w:sz w:val="28"/>
                <w:szCs w:val="28"/>
                <w:highlight w:val="none"/>
                <w:lang w:eastAsia="zh-CN"/>
              </w:rPr>
              <w:t>2023年度</w:t>
            </w:r>
          </w:p>
        </w:tc>
        <w:tc>
          <w:tcPr>
            <w:tcW w:w="2127" w:type="dxa"/>
            <w:gridSpan w:val="2"/>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highlight w:val="none"/>
                <w:lang w:eastAsia="zh-CN"/>
              </w:rPr>
            </w:pPr>
            <w:r>
              <w:rPr>
                <w:rFonts w:hint="eastAsia" w:ascii="仿宋" w:hAnsi="仿宋" w:eastAsia="仿宋" w:cs="仿宋"/>
                <w:b/>
                <w:bCs/>
                <w:snapToGrid/>
                <w:kern w:val="2"/>
                <w:sz w:val="28"/>
                <w:szCs w:val="28"/>
                <w:highlight w:val="none"/>
                <w:lang w:eastAsia="zh-CN"/>
              </w:rPr>
              <w:t>评价类型</w:t>
            </w:r>
          </w:p>
        </w:tc>
        <w:tc>
          <w:tcPr>
            <w:tcW w:w="2577"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highlight w:val="none"/>
                <w:lang w:eastAsia="zh-CN"/>
              </w:rPr>
            </w:pPr>
            <w:r>
              <w:rPr>
                <w:rFonts w:hint="eastAsia" w:ascii="仿宋" w:hAnsi="仿宋" w:eastAsia="仿宋" w:cs="仿宋"/>
                <w:snapToGrid/>
                <w:kern w:val="2"/>
                <w:sz w:val="28"/>
                <w:szCs w:val="28"/>
                <w:highlight w:val="none"/>
                <w:lang w:eastAsia="zh-CN"/>
              </w:rPr>
              <w:t>财政评</w:t>
            </w:r>
            <w:r>
              <w:rPr>
                <w:rFonts w:hint="eastAsia" w:ascii="仿宋" w:hAnsi="仿宋" w:eastAsia="仿宋" w:cs="仿宋"/>
                <w:snapToGrid/>
                <w:kern w:val="2"/>
                <w:sz w:val="28"/>
                <w:szCs w:val="28"/>
                <w:highlight w:val="none"/>
                <w:lang w:eastAsia="zh-CN"/>
              </w:rPr>
              <w:drawing>
                <wp:anchor distT="0" distB="0" distL="114300" distR="114300" simplePos="0" relativeHeight="251659264" behindDoc="1" locked="0" layoutInCell="1" allowOverlap="1">
                  <wp:simplePos x="0" y="0"/>
                  <wp:positionH relativeFrom="column">
                    <wp:posOffset>3307715</wp:posOffset>
                  </wp:positionH>
                  <wp:positionV relativeFrom="paragraph">
                    <wp:posOffset>33655</wp:posOffset>
                  </wp:positionV>
                  <wp:extent cx="2153920" cy="2451100"/>
                  <wp:effectExtent l="0" t="0" r="0" b="0"/>
                  <wp:wrapNone/>
                  <wp:docPr id="1" name="图片 17" descr="2021102018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20211020181437"/>
                          <pic:cNvPicPr>
                            <a:picLocks noChangeAspect="1"/>
                          </pic:cNvPicPr>
                        </pic:nvPicPr>
                        <pic:blipFill>
                          <a:blip r:embed="rId5"/>
                          <a:stretch>
                            <a:fillRect/>
                          </a:stretch>
                        </pic:blipFill>
                        <pic:spPr>
                          <a:xfrm>
                            <a:off x="0" y="0"/>
                            <a:ext cx="2153920" cy="2451100"/>
                          </a:xfrm>
                          <a:prstGeom prst="rect">
                            <a:avLst/>
                          </a:prstGeom>
                          <a:noFill/>
                          <a:ln>
                            <a:noFill/>
                          </a:ln>
                        </pic:spPr>
                      </pic:pic>
                    </a:graphicData>
                  </a:graphic>
                </wp:anchor>
              </w:drawing>
            </w:r>
            <w:r>
              <w:rPr>
                <w:rFonts w:hint="eastAsia" w:ascii="仿宋" w:hAnsi="仿宋" w:eastAsia="仿宋" w:cs="仿宋"/>
                <w:snapToGrid/>
                <w:kern w:val="2"/>
                <w:sz w:val="28"/>
                <w:szCs w:val="28"/>
                <w:highlight w:val="none"/>
                <w:lang w:eastAsia="zh-CN"/>
              </w:rPr>
              <w:t>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1084" w:type="dxa"/>
            <w:vMerge w:val="continue"/>
            <w:tcBorders>
              <w:tl2br w:val="nil"/>
              <w:tr2bl w:val="nil"/>
            </w:tcBorders>
            <w:textDirection w:val="tbRlV"/>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highlight w:val="none"/>
                <w:lang w:eastAsia="zh-CN"/>
              </w:rPr>
            </w:pPr>
          </w:p>
        </w:tc>
        <w:tc>
          <w:tcPr>
            <w:tcW w:w="2102"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highlight w:val="none"/>
                <w:lang w:eastAsia="zh-CN"/>
              </w:rPr>
            </w:pPr>
            <w:r>
              <w:rPr>
                <w:rFonts w:hint="eastAsia" w:ascii="仿宋" w:hAnsi="仿宋" w:eastAsia="仿宋" w:cs="仿宋"/>
                <w:b/>
                <w:bCs/>
                <w:snapToGrid/>
                <w:kern w:val="2"/>
                <w:sz w:val="28"/>
                <w:szCs w:val="28"/>
                <w:highlight w:val="none"/>
                <w:lang w:eastAsia="zh-CN"/>
              </w:rPr>
              <w:t>委托单位</w:t>
            </w:r>
          </w:p>
        </w:tc>
        <w:tc>
          <w:tcPr>
            <w:tcW w:w="1917" w:type="dxa"/>
            <w:tcBorders>
              <w:tl2br w:val="nil"/>
              <w:tr2bl w:val="nil"/>
            </w:tcBorders>
            <w:vAlign w:val="center"/>
          </w:tcPr>
          <w:p>
            <w:pPr>
              <w:kinsoku/>
              <w:autoSpaceDE/>
              <w:autoSpaceDN/>
              <w:adjustRightInd/>
              <w:snapToGrid/>
              <w:spacing w:line="360" w:lineRule="auto"/>
              <w:jc w:val="center"/>
              <w:textAlignment w:val="center"/>
              <w:rPr>
                <w:rFonts w:hint="eastAsia" w:ascii="仿宋" w:hAnsi="仿宋" w:eastAsia="仿宋" w:cs="仿宋"/>
                <w:b/>
                <w:bCs/>
                <w:snapToGrid/>
                <w:kern w:val="2"/>
                <w:sz w:val="28"/>
                <w:szCs w:val="28"/>
                <w:highlight w:val="none"/>
                <w:lang w:eastAsia="zh-CN"/>
              </w:rPr>
            </w:pPr>
            <w:r>
              <w:rPr>
                <w:rFonts w:hint="eastAsia" w:ascii="仿宋" w:hAnsi="仿宋" w:eastAsia="仿宋" w:cs="仿宋"/>
                <w:snapToGrid/>
                <w:kern w:val="2"/>
                <w:sz w:val="28"/>
                <w:szCs w:val="28"/>
                <w:highlight w:val="none"/>
                <w:lang w:eastAsia="zh-CN"/>
              </w:rPr>
              <w:t>山丹县财政局</w:t>
            </w:r>
          </w:p>
        </w:tc>
        <w:tc>
          <w:tcPr>
            <w:tcW w:w="2127" w:type="dxa"/>
            <w:gridSpan w:val="2"/>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highlight w:val="none"/>
                <w:lang w:eastAsia="zh-CN"/>
              </w:rPr>
            </w:pPr>
            <w:r>
              <w:rPr>
                <w:rFonts w:hint="eastAsia" w:ascii="仿宋" w:hAnsi="仿宋" w:eastAsia="仿宋" w:cs="仿宋"/>
                <w:b/>
                <w:bCs/>
                <w:snapToGrid/>
                <w:kern w:val="2"/>
                <w:sz w:val="28"/>
                <w:szCs w:val="28"/>
                <w:highlight w:val="none"/>
                <w:lang w:eastAsia="zh-CN"/>
              </w:rPr>
              <w:t>评价机构</w:t>
            </w:r>
          </w:p>
        </w:tc>
        <w:tc>
          <w:tcPr>
            <w:tcW w:w="2577" w:type="dxa"/>
            <w:tcBorders>
              <w:tl2br w:val="nil"/>
              <w:tr2bl w:val="nil"/>
            </w:tcBorders>
            <w:vAlign w:val="center"/>
          </w:tcPr>
          <w:p>
            <w:pPr>
              <w:kinsoku/>
              <w:autoSpaceDE/>
              <w:autoSpaceDN/>
              <w:adjustRightInd/>
              <w:snapToGrid/>
              <w:spacing w:line="360" w:lineRule="auto"/>
              <w:jc w:val="both"/>
              <w:textAlignment w:val="center"/>
              <w:rPr>
                <w:rFonts w:hint="eastAsia" w:ascii="仿宋" w:hAnsi="仿宋" w:eastAsia="仿宋" w:cs="仿宋"/>
                <w:snapToGrid/>
                <w:kern w:val="2"/>
                <w:sz w:val="28"/>
                <w:szCs w:val="28"/>
                <w:highlight w:val="none"/>
                <w:lang w:eastAsia="zh-CN"/>
              </w:rPr>
            </w:pPr>
            <w:bookmarkStart w:id="0" w:name="_Hlk176939415"/>
            <w:r>
              <w:rPr>
                <w:rFonts w:hint="eastAsia" w:ascii="仿宋" w:hAnsi="仿宋" w:eastAsia="仿宋" w:cs="仿宋"/>
                <w:snapToGrid/>
                <w:kern w:val="2"/>
                <w:sz w:val="28"/>
                <w:szCs w:val="28"/>
                <w:highlight w:val="none"/>
                <w:lang w:eastAsia="zh-CN"/>
              </w:rPr>
              <w:t>甘肃坤信永诚绩效评价咨询服务有限公司</w:t>
            </w:r>
            <w:bookmarkEnd w:id="0"/>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1084" w:type="dxa"/>
            <w:vMerge w:val="continue"/>
            <w:tcBorders>
              <w:tl2br w:val="nil"/>
              <w:tr2bl w:val="nil"/>
            </w:tcBorders>
            <w:textDirection w:val="tbRlV"/>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highlight w:val="none"/>
                <w:lang w:eastAsia="zh-CN"/>
              </w:rPr>
            </w:pPr>
          </w:p>
        </w:tc>
        <w:tc>
          <w:tcPr>
            <w:tcW w:w="2102"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highlight w:val="none"/>
                <w:lang w:eastAsia="zh-CN"/>
              </w:rPr>
            </w:pPr>
            <w:r>
              <w:rPr>
                <w:rFonts w:hint="eastAsia" w:ascii="仿宋" w:hAnsi="仿宋" w:eastAsia="仿宋" w:cs="仿宋"/>
                <w:b/>
                <w:bCs/>
                <w:snapToGrid/>
                <w:kern w:val="2"/>
                <w:sz w:val="28"/>
                <w:szCs w:val="28"/>
                <w:highlight w:val="none"/>
                <w:lang w:eastAsia="zh-CN"/>
              </w:rPr>
              <w:t>被评价部门</w:t>
            </w:r>
          </w:p>
        </w:tc>
        <w:tc>
          <w:tcPr>
            <w:tcW w:w="1917" w:type="dxa"/>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highlight w:val="none"/>
                <w:lang w:eastAsia="zh-CN"/>
              </w:rPr>
            </w:pPr>
            <w:r>
              <w:rPr>
                <w:rFonts w:hint="eastAsia" w:ascii="仿宋" w:hAnsi="仿宋" w:eastAsia="仿宋" w:cs="仿宋"/>
                <w:snapToGrid/>
                <w:kern w:val="2"/>
                <w:sz w:val="28"/>
                <w:szCs w:val="28"/>
                <w:highlight w:val="none"/>
                <w:lang w:eastAsia="zh-CN"/>
              </w:rPr>
              <w:t>山丹县水务局</w:t>
            </w:r>
            <w:r>
              <w:rPr>
                <w:rFonts w:hint="eastAsia" w:ascii="仿宋" w:hAnsi="仿宋" w:eastAsia="仿宋" w:cs="仿宋"/>
                <w:b/>
                <w:bCs/>
                <w:snapToGrid/>
                <w:kern w:val="2"/>
                <w:sz w:val="28"/>
                <w:szCs w:val="28"/>
                <w:highlight w:val="none"/>
                <w:lang w:eastAsia="zh-CN"/>
              </w:rPr>
              <w:t xml:space="preserve"> </w:t>
            </w:r>
          </w:p>
        </w:tc>
        <w:tc>
          <w:tcPr>
            <w:tcW w:w="2127" w:type="dxa"/>
            <w:gridSpan w:val="2"/>
            <w:tcBorders>
              <w:tl2br w:val="nil"/>
              <w:tr2bl w:val="nil"/>
            </w:tcBorders>
            <w:vAlign w:val="center"/>
          </w:tcPr>
          <w:p>
            <w:pPr>
              <w:kinsoku/>
              <w:autoSpaceDE/>
              <w:autoSpaceDN/>
              <w:adjustRightInd/>
              <w:snapToGrid/>
              <w:spacing w:line="560" w:lineRule="exact"/>
              <w:jc w:val="center"/>
              <w:textAlignment w:val="center"/>
              <w:rPr>
                <w:rFonts w:hint="eastAsia" w:ascii="仿宋" w:hAnsi="仿宋" w:eastAsia="仿宋" w:cs="仿宋"/>
                <w:b/>
                <w:bCs/>
                <w:snapToGrid/>
                <w:kern w:val="2"/>
                <w:sz w:val="28"/>
                <w:szCs w:val="28"/>
                <w:highlight w:val="none"/>
                <w:lang w:eastAsia="zh-CN"/>
              </w:rPr>
            </w:pPr>
            <w:r>
              <w:rPr>
                <w:rFonts w:hint="eastAsia" w:ascii="仿宋" w:hAnsi="仿宋" w:eastAsia="仿宋" w:cs="仿宋"/>
                <w:b/>
                <w:bCs/>
                <w:snapToGrid/>
                <w:kern w:val="2"/>
                <w:sz w:val="28"/>
                <w:szCs w:val="28"/>
                <w:highlight w:val="none"/>
                <w:lang w:eastAsia="zh-CN"/>
              </w:rPr>
              <w:t>资金性质</w:t>
            </w:r>
          </w:p>
        </w:tc>
        <w:tc>
          <w:tcPr>
            <w:tcW w:w="2577" w:type="dxa"/>
            <w:tcBorders>
              <w:tl2br w:val="nil"/>
              <w:tr2bl w:val="nil"/>
            </w:tcBorders>
            <w:vAlign w:val="center"/>
          </w:tcPr>
          <w:p>
            <w:pPr>
              <w:kinsoku/>
              <w:autoSpaceDE/>
              <w:autoSpaceDN/>
              <w:adjustRightInd/>
              <w:snapToGrid/>
              <w:spacing w:line="560" w:lineRule="exact"/>
              <w:jc w:val="center"/>
              <w:textAlignment w:val="center"/>
              <w:rPr>
                <w:rFonts w:hint="default" w:ascii="仿宋" w:hAnsi="仿宋" w:eastAsia="仿宋" w:cs="仿宋"/>
                <w:snapToGrid/>
                <w:kern w:val="2"/>
                <w:sz w:val="28"/>
                <w:szCs w:val="28"/>
                <w:highlight w:val="none"/>
                <w:lang w:val="en-US" w:eastAsia="zh-CN"/>
              </w:rPr>
            </w:pPr>
            <w:r>
              <w:rPr>
                <w:rFonts w:hint="eastAsia" w:ascii="仿宋" w:hAnsi="仿宋" w:eastAsia="仿宋" w:cs="仿宋"/>
                <w:snapToGrid/>
                <w:kern w:val="2"/>
                <w:sz w:val="28"/>
                <w:szCs w:val="28"/>
                <w:highlight w:val="none"/>
                <w:lang w:val="en-US" w:eastAsia="zh-CN"/>
              </w:rPr>
              <w:t>一般公共预算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084" w:type="dxa"/>
            <w:tcBorders>
              <w:tl2br w:val="nil"/>
              <w:tr2bl w:val="nil"/>
            </w:tcBorders>
            <w:textDirection w:val="tbRlV"/>
            <w:vAlign w:val="center"/>
          </w:tcPr>
          <w:p>
            <w:pPr>
              <w:pStyle w:val="9"/>
              <w:spacing w:before="227" w:line="202" w:lineRule="auto"/>
              <w:ind w:left="447"/>
              <w:jc w:val="center"/>
              <w:rPr>
                <w:rFonts w:hint="eastAsia" w:ascii="仿宋" w:hAnsi="仿宋" w:eastAsia="仿宋" w:cs="仿宋"/>
                <w:sz w:val="28"/>
                <w:szCs w:val="28"/>
                <w:highlight w:val="none"/>
              </w:rPr>
            </w:pPr>
            <w:r>
              <w:rPr>
                <w:rFonts w:hint="eastAsia" w:ascii="仿宋" w:hAnsi="仿宋" w:eastAsia="仿宋" w:cs="仿宋"/>
                <w:b/>
                <w:bCs/>
                <w:snapToGrid/>
                <w:kern w:val="2"/>
                <w:sz w:val="28"/>
                <w:szCs w:val="28"/>
                <w:highlight w:val="none"/>
                <w:lang w:eastAsia="zh-CN"/>
              </w:rPr>
              <w:t>评 价 目 的</w:t>
            </w:r>
          </w:p>
        </w:tc>
        <w:tc>
          <w:tcPr>
            <w:tcW w:w="8723" w:type="dxa"/>
            <w:gridSpan w:val="5"/>
            <w:tcBorders>
              <w:tl2br w:val="nil"/>
              <w:tr2bl w:val="nil"/>
            </w:tcBorders>
          </w:tcPr>
          <w:p>
            <w:pPr>
              <w:kinsoku/>
              <w:autoSpaceDE/>
              <w:autoSpaceDN/>
              <w:adjustRightInd/>
              <w:snapToGrid/>
              <w:spacing w:line="360" w:lineRule="auto"/>
              <w:ind w:firstLine="560" w:firstLineChars="200"/>
              <w:jc w:val="both"/>
              <w:textAlignment w:val="center"/>
              <w:rPr>
                <w:rFonts w:hint="eastAsia" w:ascii="仿宋" w:hAnsi="仿宋" w:eastAsia="仿宋" w:cs="仿宋"/>
                <w:color w:val="0070C0"/>
                <w:sz w:val="28"/>
                <w:szCs w:val="28"/>
                <w:highlight w:val="none"/>
                <w:lang w:eastAsia="zh-CN" w:bidi="ar"/>
              </w:rPr>
            </w:pPr>
            <w:r>
              <w:rPr>
                <w:rFonts w:hint="eastAsia" w:ascii="仿宋" w:hAnsi="仿宋" w:eastAsia="仿宋" w:cs="仿宋"/>
                <w:snapToGrid/>
                <w:kern w:val="2"/>
                <w:sz w:val="28"/>
                <w:szCs w:val="28"/>
                <w:highlight w:val="none"/>
                <w:lang w:eastAsia="zh-CN"/>
              </w:rPr>
              <w:t>本次绩效评价的目的旨在通过对山丹县寺沟河中型灌区续建配套与节水</w:t>
            </w:r>
            <w:r>
              <w:rPr>
                <w:rFonts w:hint="eastAsia" w:ascii="仿宋" w:hAnsi="仿宋" w:eastAsia="仿宋" w:cs="仿宋"/>
                <w:snapToGrid/>
                <w:kern w:val="2"/>
                <w:sz w:val="28"/>
                <w:szCs w:val="28"/>
                <w:highlight w:val="none"/>
                <w:lang w:val="en-US" w:eastAsia="zh-CN"/>
              </w:rPr>
              <w:t>改造</w:t>
            </w:r>
            <w:r>
              <w:rPr>
                <w:rFonts w:hint="eastAsia" w:ascii="仿宋" w:hAnsi="仿宋" w:eastAsia="仿宋" w:cs="仿宋"/>
                <w:snapToGrid/>
                <w:kern w:val="2"/>
                <w:sz w:val="28"/>
                <w:szCs w:val="28"/>
                <w:highlight w:val="none"/>
                <w:lang w:eastAsia="zh-CN"/>
              </w:rPr>
              <w:t>项目（</w:t>
            </w:r>
            <w:r>
              <w:rPr>
                <w:rFonts w:hint="eastAsia" w:ascii="仿宋" w:hAnsi="仿宋" w:eastAsia="仿宋" w:cs="仿宋"/>
                <w:snapToGrid/>
                <w:kern w:val="2"/>
                <w:sz w:val="28"/>
                <w:szCs w:val="28"/>
                <w:highlight w:val="none"/>
                <w:lang w:val="en-US" w:eastAsia="zh-CN"/>
              </w:rPr>
              <w:t>一般公共预算</w:t>
            </w:r>
            <w:r>
              <w:rPr>
                <w:rFonts w:hint="eastAsia" w:ascii="仿宋" w:hAnsi="仿宋" w:eastAsia="仿宋" w:cs="仿宋"/>
                <w:snapToGrid/>
                <w:kern w:val="2"/>
                <w:sz w:val="28"/>
                <w:szCs w:val="28"/>
                <w:highlight w:val="none"/>
                <w:lang w:eastAsia="zh-CN"/>
              </w:rPr>
              <w:t>项目）绩效目标实现程度进行科学、客观、公正地衡量和评判，</w:t>
            </w:r>
            <w:r>
              <w:rPr>
                <w:rFonts w:hint="eastAsia" w:ascii="仿宋" w:hAnsi="仿宋" w:eastAsia="仿宋" w:cs="仿宋"/>
                <w:color w:val="auto"/>
                <w:sz w:val="28"/>
                <w:szCs w:val="28"/>
                <w:highlight w:val="none"/>
                <w:lang w:eastAsia="zh-CN"/>
              </w:rPr>
              <w:t>发现项目在实施过程中存在的问题及原因</w:t>
            </w:r>
            <w:r>
              <w:rPr>
                <w:rFonts w:hint="eastAsia" w:ascii="仿宋" w:hAnsi="仿宋" w:eastAsia="仿宋" w:cs="仿宋"/>
                <w:color w:val="002060"/>
                <w:sz w:val="28"/>
                <w:szCs w:val="28"/>
                <w:highlight w:val="none"/>
                <w:lang w:eastAsia="zh-CN"/>
              </w:rPr>
              <w:t>，</w:t>
            </w:r>
            <w:r>
              <w:rPr>
                <w:rFonts w:hint="eastAsia" w:ascii="仿宋" w:hAnsi="仿宋" w:eastAsia="仿宋" w:cs="仿宋"/>
                <w:sz w:val="28"/>
                <w:szCs w:val="28"/>
                <w:highlight w:val="none"/>
                <w:lang w:eastAsia="zh-CN"/>
              </w:rPr>
              <w:t>从而提出切实可行的建议</w:t>
            </w:r>
            <w:r>
              <w:rPr>
                <w:rFonts w:hint="eastAsia" w:ascii="仿宋" w:hAnsi="仿宋" w:eastAsia="仿宋" w:cs="仿宋"/>
                <w:snapToGrid/>
                <w:kern w:val="2"/>
                <w:sz w:val="28"/>
                <w:szCs w:val="28"/>
                <w:highlight w:val="none"/>
                <w:lang w:eastAsia="zh-CN"/>
              </w:rPr>
              <w:t>，总结项目管理与执行经验，推动建立以绩效评价结果为导向的财政资金分配与管理制度，提升财政资金科学化、精细化管理水平，为以后年度山丹县寺沟河中型灌区续建配套与节水</w:t>
            </w:r>
            <w:r>
              <w:rPr>
                <w:rFonts w:hint="eastAsia" w:ascii="仿宋" w:hAnsi="仿宋" w:eastAsia="仿宋" w:cs="仿宋"/>
                <w:snapToGrid/>
                <w:kern w:val="2"/>
                <w:sz w:val="28"/>
                <w:szCs w:val="28"/>
                <w:highlight w:val="none"/>
                <w:lang w:val="en-US" w:eastAsia="zh-CN"/>
              </w:rPr>
              <w:t>改造</w:t>
            </w:r>
            <w:r>
              <w:rPr>
                <w:rFonts w:hint="eastAsia" w:ascii="仿宋" w:hAnsi="仿宋" w:eastAsia="仿宋" w:cs="仿宋"/>
                <w:snapToGrid/>
                <w:kern w:val="2"/>
                <w:sz w:val="28"/>
                <w:szCs w:val="28"/>
                <w:highlight w:val="none"/>
                <w:lang w:eastAsia="zh-CN"/>
              </w:rPr>
              <w:t>项目管理提供参考依据。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1084" w:type="dxa"/>
            <w:vMerge w:val="restart"/>
            <w:tcBorders>
              <w:tl2br w:val="nil"/>
              <w:tr2bl w:val="nil"/>
            </w:tcBorders>
            <w:textDirection w:val="tbRlV"/>
            <w:vAlign w:val="center"/>
          </w:tcPr>
          <w:p>
            <w:pPr>
              <w:pStyle w:val="9"/>
              <w:jc w:val="center"/>
              <w:rPr>
                <w:rFonts w:hint="eastAsia" w:ascii="仿宋" w:hAnsi="仿宋" w:eastAsia="仿宋" w:cs="仿宋"/>
                <w:b/>
                <w:bCs/>
                <w:snapToGrid/>
                <w:kern w:val="2"/>
                <w:sz w:val="28"/>
                <w:szCs w:val="28"/>
                <w:highlight w:val="none"/>
                <w:lang w:eastAsia="zh-CN"/>
              </w:rPr>
            </w:pPr>
            <w:r>
              <w:rPr>
                <w:rFonts w:hint="eastAsia" w:ascii="仿宋" w:hAnsi="仿宋" w:eastAsia="仿宋" w:cs="仿宋"/>
                <w:b/>
                <w:bCs/>
                <w:snapToGrid/>
                <w:kern w:val="2"/>
                <w:sz w:val="28"/>
                <w:szCs w:val="28"/>
                <w:highlight w:val="none"/>
                <w:lang w:eastAsia="zh-CN"/>
              </w:rPr>
              <w:t>（万元）</w:t>
            </w:r>
          </w:p>
          <w:p>
            <w:pPr>
              <w:pStyle w:val="9"/>
              <w:jc w:val="center"/>
              <w:rPr>
                <w:rFonts w:hint="eastAsia" w:ascii="仿宋" w:hAnsi="仿宋" w:eastAsia="仿宋" w:cs="仿宋"/>
                <w:color w:val="0070C0"/>
                <w:sz w:val="28"/>
                <w:szCs w:val="28"/>
                <w:highlight w:val="none"/>
                <w:lang w:eastAsia="zh-CN"/>
              </w:rPr>
            </w:pPr>
            <w:r>
              <w:rPr>
                <w:rFonts w:hint="eastAsia" w:ascii="仿宋" w:hAnsi="仿宋" w:eastAsia="仿宋" w:cs="仿宋"/>
                <w:b/>
                <w:bCs/>
                <w:snapToGrid/>
                <w:kern w:val="2"/>
                <w:sz w:val="28"/>
                <w:szCs w:val="28"/>
                <w:highlight w:val="none"/>
                <w:lang w:eastAsia="zh-CN"/>
              </w:rPr>
              <w:t>资金情况</w:t>
            </w:r>
          </w:p>
        </w:tc>
        <w:tc>
          <w:tcPr>
            <w:tcW w:w="2102" w:type="dxa"/>
            <w:tcBorders>
              <w:tl2br w:val="nil"/>
              <w:tr2bl w:val="nil"/>
            </w:tcBorders>
            <w:shd w:val="clear" w:color="auto" w:fill="auto"/>
          </w:tcPr>
          <w:p>
            <w:pPr>
              <w:kinsoku/>
              <w:autoSpaceDE/>
              <w:autoSpaceDN/>
              <w:jc w:val="center"/>
              <w:textAlignment w:val="center"/>
              <w:rPr>
                <w:rFonts w:hint="eastAsia" w:ascii="仿宋" w:hAnsi="仿宋" w:eastAsia="仿宋" w:cs="仿宋"/>
                <w:b/>
                <w:bCs/>
                <w:snapToGrid/>
                <w:kern w:val="2"/>
                <w:sz w:val="28"/>
                <w:szCs w:val="28"/>
                <w:highlight w:val="none"/>
                <w:lang w:eastAsia="zh-CN"/>
              </w:rPr>
            </w:pPr>
          </w:p>
          <w:p>
            <w:pPr>
              <w:kinsoku/>
              <w:autoSpaceDE/>
              <w:autoSpaceDN/>
              <w:jc w:val="center"/>
              <w:textAlignment w:val="center"/>
              <w:rPr>
                <w:rFonts w:hint="eastAsia" w:ascii="仿宋" w:hAnsi="仿宋" w:eastAsia="仿宋" w:cs="仿宋"/>
                <w:b/>
                <w:bCs/>
                <w:snapToGrid/>
                <w:kern w:val="2"/>
                <w:sz w:val="28"/>
                <w:szCs w:val="28"/>
                <w:highlight w:val="none"/>
                <w:lang w:eastAsia="zh-CN"/>
              </w:rPr>
            </w:pPr>
            <w:r>
              <w:rPr>
                <w:rFonts w:hint="eastAsia" w:ascii="仿宋" w:hAnsi="仿宋" w:eastAsia="仿宋" w:cs="仿宋"/>
                <w:b/>
                <w:bCs/>
                <w:snapToGrid/>
                <w:kern w:val="2"/>
                <w:sz w:val="28"/>
                <w:szCs w:val="28"/>
                <w:highlight w:val="none"/>
                <w:lang w:eastAsia="zh-CN"/>
              </w:rPr>
              <w:t>预算安排资金</w:t>
            </w:r>
          </w:p>
          <w:p>
            <w:pPr>
              <w:kinsoku/>
              <w:autoSpaceDE/>
              <w:autoSpaceDN/>
              <w:jc w:val="center"/>
              <w:textAlignment w:val="center"/>
              <w:rPr>
                <w:rFonts w:hint="eastAsia" w:ascii="仿宋" w:hAnsi="仿宋" w:eastAsia="仿宋" w:cs="仿宋"/>
                <w:b/>
                <w:bCs/>
                <w:snapToGrid/>
                <w:kern w:val="2"/>
                <w:sz w:val="28"/>
                <w:szCs w:val="28"/>
                <w:highlight w:val="none"/>
                <w:lang w:eastAsia="zh-CN"/>
              </w:rPr>
            </w:pPr>
          </w:p>
        </w:tc>
        <w:tc>
          <w:tcPr>
            <w:tcW w:w="2432" w:type="dxa"/>
            <w:gridSpan w:val="2"/>
            <w:tcBorders>
              <w:tl2br w:val="nil"/>
              <w:tr2bl w:val="nil"/>
            </w:tcBorders>
            <w:shd w:val="clear" w:color="auto" w:fill="auto"/>
            <w:vAlign w:val="center"/>
          </w:tcPr>
          <w:p>
            <w:pPr>
              <w:tabs>
                <w:tab w:val="left" w:pos="2496"/>
              </w:tabs>
              <w:jc w:val="center"/>
              <w:rPr>
                <w:rFonts w:hint="eastAsia" w:ascii="仿宋" w:hAnsi="仿宋" w:eastAsia="仿宋" w:cs="仿宋"/>
                <w:sz w:val="28"/>
                <w:szCs w:val="28"/>
                <w:highlight w:val="none"/>
                <w:lang w:eastAsia="zh-CN"/>
              </w:rPr>
            </w:pPr>
            <w:r>
              <w:rPr>
                <w:rFonts w:hint="eastAsia" w:ascii="仿宋" w:hAnsi="仿宋" w:eastAsia="仿宋" w:cs="仿宋"/>
                <w:snapToGrid/>
                <w:kern w:val="2"/>
                <w:sz w:val="28"/>
                <w:szCs w:val="28"/>
                <w:highlight w:val="none"/>
                <w:lang w:val="en-US" w:eastAsia="zh-CN"/>
              </w:rPr>
              <w:t>4,630</w:t>
            </w:r>
            <w:r>
              <w:rPr>
                <w:rFonts w:hint="eastAsia" w:ascii="仿宋" w:hAnsi="仿宋" w:eastAsia="仿宋" w:cs="仿宋"/>
                <w:snapToGrid/>
                <w:kern w:val="2"/>
                <w:sz w:val="28"/>
                <w:szCs w:val="28"/>
                <w:highlight w:val="none"/>
                <w:lang w:eastAsia="zh-CN"/>
              </w:rPr>
              <w:t>.00</w:t>
            </w:r>
            <w:r>
              <w:rPr>
                <w:rFonts w:hint="eastAsia" w:ascii="仿宋" w:hAnsi="仿宋" w:eastAsia="仿宋" w:cs="仿宋"/>
                <w:sz w:val="28"/>
                <w:szCs w:val="28"/>
                <w:highlight w:val="none"/>
                <w:lang w:eastAsia="zh-CN"/>
              </w:rPr>
              <w:t xml:space="preserve"> </w:t>
            </w:r>
          </w:p>
        </w:tc>
        <w:tc>
          <w:tcPr>
            <w:tcW w:w="1612" w:type="dxa"/>
            <w:tcBorders>
              <w:tl2br w:val="nil"/>
              <w:tr2bl w:val="nil"/>
            </w:tcBorders>
            <w:shd w:val="clear" w:color="auto" w:fill="auto"/>
          </w:tcPr>
          <w:p>
            <w:pPr>
              <w:kinsoku/>
              <w:autoSpaceDE/>
              <w:autoSpaceDN/>
              <w:jc w:val="center"/>
              <w:textAlignment w:val="center"/>
              <w:rPr>
                <w:rFonts w:hint="eastAsia" w:ascii="仿宋" w:hAnsi="仿宋" w:eastAsia="仿宋" w:cs="仿宋"/>
                <w:b/>
                <w:bCs/>
                <w:snapToGrid/>
                <w:kern w:val="2"/>
                <w:sz w:val="28"/>
                <w:szCs w:val="28"/>
                <w:highlight w:val="none"/>
                <w:lang w:eastAsia="zh-CN"/>
              </w:rPr>
            </w:pPr>
          </w:p>
          <w:p>
            <w:pPr>
              <w:kinsoku/>
              <w:autoSpaceDE/>
              <w:autoSpaceDN/>
              <w:jc w:val="center"/>
              <w:textAlignment w:val="center"/>
              <w:rPr>
                <w:rFonts w:hint="eastAsia" w:ascii="仿宋" w:hAnsi="仿宋" w:eastAsia="仿宋" w:cs="仿宋"/>
                <w:b/>
                <w:bCs/>
                <w:snapToGrid/>
                <w:kern w:val="2"/>
                <w:sz w:val="28"/>
                <w:szCs w:val="28"/>
                <w:highlight w:val="none"/>
                <w:lang w:eastAsia="zh-CN"/>
              </w:rPr>
            </w:pPr>
            <w:r>
              <w:rPr>
                <w:rFonts w:hint="eastAsia" w:ascii="仿宋" w:hAnsi="仿宋" w:eastAsia="仿宋" w:cs="仿宋"/>
                <w:b/>
                <w:bCs/>
                <w:snapToGrid/>
                <w:kern w:val="2"/>
                <w:sz w:val="28"/>
                <w:szCs w:val="28"/>
                <w:highlight w:val="none"/>
                <w:lang w:eastAsia="zh-CN"/>
              </w:rPr>
              <w:t>调整预算数</w:t>
            </w:r>
          </w:p>
        </w:tc>
        <w:tc>
          <w:tcPr>
            <w:tcW w:w="2577" w:type="dxa"/>
            <w:tcBorders>
              <w:tl2br w:val="nil"/>
              <w:tr2bl w:val="nil"/>
            </w:tcBorders>
            <w:shd w:val="clear" w:color="auto" w:fill="auto"/>
            <w:vAlign w:val="center"/>
          </w:tcPr>
          <w:p>
            <w:pPr>
              <w:jc w:val="center"/>
              <w:rPr>
                <w:rFonts w:hint="eastAsia" w:ascii="仿宋" w:hAnsi="仿宋" w:eastAsia="仿宋" w:cs="仿宋"/>
                <w:sz w:val="28"/>
                <w:szCs w:val="28"/>
                <w:highlight w:val="none"/>
                <w:lang w:eastAsia="zh-CN" w:bidi="ar"/>
              </w:rPr>
            </w:pPr>
            <w:r>
              <w:rPr>
                <w:rFonts w:hint="eastAsia" w:ascii="仿宋" w:hAnsi="仿宋" w:eastAsia="仿宋" w:cs="仿宋"/>
                <w:snapToGrid/>
                <w:kern w:val="2"/>
                <w:sz w:val="28"/>
                <w:szCs w:val="28"/>
                <w:lang w:eastAsia="zh-CN"/>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1084" w:type="dxa"/>
            <w:vMerge w:val="continue"/>
            <w:tcBorders>
              <w:tl2br w:val="nil"/>
              <w:tr2bl w:val="nil"/>
            </w:tcBorders>
            <w:textDirection w:val="tbRlV"/>
          </w:tcPr>
          <w:p>
            <w:pPr>
              <w:pStyle w:val="9"/>
              <w:jc w:val="center"/>
              <w:rPr>
                <w:rFonts w:hint="eastAsia" w:ascii="仿宋" w:hAnsi="仿宋" w:eastAsia="仿宋" w:cs="仿宋"/>
                <w:color w:val="0070C0"/>
                <w:sz w:val="28"/>
                <w:szCs w:val="28"/>
                <w:highlight w:val="none"/>
                <w:lang w:eastAsia="zh-CN"/>
              </w:rPr>
            </w:pPr>
          </w:p>
        </w:tc>
        <w:tc>
          <w:tcPr>
            <w:tcW w:w="2102" w:type="dxa"/>
            <w:tcBorders>
              <w:tl2br w:val="nil"/>
              <w:tr2bl w:val="nil"/>
            </w:tcBorders>
            <w:shd w:val="clear" w:color="auto" w:fill="auto"/>
            <w:vAlign w:val="center"/>
          </w:tcPr>
          <w:p>
            <w:pPr>
              <w:kinsoku/>
              <w:autoSpaceDE/>
              <w:autoSpaceDN/>
              <w:jc w:val="center"/>
              <w:textAlignment w:val="center"/>
              <w:rPr>
                <w:rFonts w:hint="eastAsia" w:ascii="仿宋" w:hAnsi="仿宋" w:eastAsia="仿宋" w:cs="仿宋"/>
                <w:b/>
                <w:bCs/>
                <w:snapToGrid/>
                <w:kern w:val="2"/>
                <w:sz w:val="28"/>
                <w:szCs w:val="28"/>
                <w:highlight w:val="none"/>
                <w:lang w:eastAsia="zh-CN"/>
              </w:rPr>
            </w:pPr>
            <w:r>
              <w:rPr>
                <w:rFonts w:hint="eastAsia" w:ascii="仿宋" w:hAnsi="仿宋" w:eastAsia="仿宋" w:cs="仿宋"/>
                <w:b/>
                <w:bCs/>
                <w:snapToGrid/>
                <w:kern w:val="2"/>
                <w:sz w:val="28"/>
                <w:szCs w:val="28"/>
                <w:highlight w:val="none"/>
                <w:lang w:eastAsia="zh-CN"/>
              </w:rPr>
              <w:t>实际执行数</w:t>
            </w:r>
          </w:p>
        </w:tc>
        <w:tc>
          <w:tcPr>
            <w:tcW w:w="2432" w:type="dxa"/>
            <w:gridSpan w:val="2"/>
            <w:tcBorders>
              <w:tl2br w:val="nil"/>
              <w:tr2bl w:val="nil"/>
            </w:tcBorders>
            <w:shd w:val="clear" w:color="auto" w:fill="auto"/>
            <w:vAlign w:val="center"/>
          </w:tcPr>
          <w:p>
            <w:pPr>
              <w:tabs>
                <w:tab w:val="left" w:pos="2496"/>
              </w:tabs>
              <w:jc w:val="center"/>
              <w:rPr>
                <w:rFonts w:hint="eastAsia" w:ascii="仿宋" w:hAnsi="仿宋" w:eastAsia="仿宋" w:cs="仿宋"/>
                <w:sz w:val="28"/>
                <w:szCs w:val="28"/>
                <w:highlight w:val="none"/>
                <w:lang w:eastAsia="zh-CN"/>
              </w:rPr>
            </w:pPr>
            <w:r>
              <w:rPr>
                <w:rFonts w:hint="eastAsia" w:ascii="仿宋" w:hAnsi="仿宋" w:eastAsia="仿宋" w:cs="仿宋"/>
                <w:snapToGrid/>
                <w:kern w:val="2"/>
                <w:sz w:val="28"/>
                <w:szCs w:val="28"/>
                <w:highlight w:val="none"/>
                <w:lang w:val="en-US" w:eastAsia="zh-CN"/>
              </w:rPr>
              <w:t>3,757.44</w:t>
            </w:r>
            <w:r>
              <w:rPr>
                <w:rFonts w:hint="eastAsia" w:ascii="仿宋" w:hAnsi="仿宋" w:eastAsia="仿宋" w:cs="仿宋"/>
                <w:sz w:val="28"/>
                <w:szCs w:val="28"/>
                <w:highlight w:val="none"/>
                <w:lang w:eastAsia="zh-CN"/>
              </w:rPr>
              <w:t xml:space="preserve"> </w:t>
            </w:r>
          </w:p>
        </w:tc>
        <w:tc>
          <w:tcPr>
            <w:tcW w:w="1612" w:type="dxa"/>
            <w:tcBorders>
              <w:tl2br w:val="nil"/>
              <w:tr2bl w:val="nil"/>
            </w:tcBorders>
            <w:shd w:val="clear" w:color="auto" w:fill="auto"/>
            <w:vAlign w:val="center"/>
          </w:tcPr>
          <w:p>
            <w:pPr>
              <w:kinsoku/>
              <w:autoSpaceDE/>
              <w:autoSpaceDN/>
              <w:jc w:val="center"/>
              <w:textAlignment w:val="center"/>
              <w:rPr>
                <w:rFonts w:hint="eastAsia" w:ascii="仿宋" w:hAnsi="仿宋" w:eastAsia="仿宋" w:cs="仿宋"/>
                <w:b/>
                <w:bCs/>
                <w:snapToGrid/>
                <w:kern w:val="2"/>
                <w:sz w:val="28"/>
                <w:szCs w:val="28"/>
                <w:highlight w:val="none"/>
                <w:lang w:eastAsia="zh-CN"/>
              </w:rPr>
            </w:pPr>
            <w:r>
              <w:rPr>
                <w:rFonts w:hint="eastAsia" w:ascii="仿宋" w:hAnsi="仿宋" w:eastAsia="仿宋" w:cs="仿宋"/>
                <w:b/>
                <w:bCs/>
                <w:snapToGrid/>
                <w:kern w:val="2"/>
                <w:sz w:val="28"/>
                <w:szCs w:val="28"/>
                <w:highlight w:val="none"/>
                <w:lang w:eastAsia="zh-CN"/>
              </w:rPr>
              <w:t>执行率</w:t>
            </w:r>
          </w:p>
        </w:tc>
        <w:tc>
          <w:tcPr>
            <w:tcW w:w="2577" w:type="dxa"/>
            <w:tcBorders>
              <w:tl2br w:val="nil"/>
              <w:tr2bl w:val="nil"/>
            </w:tcBorders>
            <w:shd w:val="clear" w:color="auto" w:fill="auto"/>
            <w:vAlign w:val="center"/>
          </w:tcPr>
          <w:p>
            <w:pPr>
              <w:jc w:val="center"/>
              <w:rPr>
                <w:rFonts w:hint="eastAsia" w:ascii="仿宋" w:hAnsi="仿宋" w:eastAsia="仿宋" w:cs="仿宋"/>
                <w:sz w:val="28"/>
                <w:szCs w:val="28"/>
                <w:highlight w:val="none"/>
                <w:lang w:eastAsia="zh-CN" w:bidi="ar"/>
              </w:rPr>
            </w:pPr>
            <w:r>
              <w:rPr>
                <w:rFonts w:hint="eastAsia" w:ascii="仿宋" w:hAnsi="仿宋" w:eastAsia="仿宋" w:cs="仿宋"/>
                <w:snapToGrid/>
                <w:kern w:val="2"/>
                <w:sz w:val="28"/>
                <w:szCs w:val="28"/>
                <w:highlight w:val="none"/>
                <w:lang w:val="en-US" w:eastAsia="zh-CN"/>
              </w:rPr>
              <w:t>81.15</w:t>
            </w:r>
            <w:r>
              <w:rPr>
                <w:rFonts w:hint="eastAsia" w:ascii="仿宋" w:hAnsi="仿宋" w:eastAsia="仿宋" w:cs="仿宋"/>
                <w:snapToGrid/>
                <w:kern w:val="2"/>
                <w:sz w:val="28"/>
                <w:szCs w:val="28"/>
                <w:highlight w:val="none"/>
                <w:lang w:eastAsia="zh-CN"/>
              </w:rPr>
              <w:t>%</w:t>
            </w:r>
          </w:p>
        </w:tc>
      </w:tr>
    </w:tbl>
    <w:p>
      <w:pPr>
        <w:kinsoku/>
        <w:autoSpaceDE/>
        <w:autoSpaceDN/>
        <w:spacing w:before="240" w:beforeLines="100" w:after="24" w:afterLines="10"/>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二、部门绩效目标</w:t>
      </w:r>
    </w:p>
    <w:tbl>
      <w:tblPr>
        <w:tblStyle w:val="10"/>
        <w:tblpPr w:leftFromText="180" w:rightFromText="180" w:vertAnchor="text" w:horzAnchor="page" w:tblpX="1056" w:tblpY="348"/>
        <w:tblOverlap w:val="never"/>
        <w:tblW w:w="9785" w:type="dxa"/>
        <w:tblInd w:w="0"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375"/>
        <w:gridCol w:w="7410"/>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2375" w:type="dxa"/>
            <w:tcBorders>
              <w:tl2br w:val="nil"/>
              <w:tr2bl w:val="nil"/>
            </w:tcBorders>
          </w:tcPr>
          <w:p>
            <w:pPr>
              <w:pStyle w:val="9"/>
              <w:jc w:val="center"/>
              <w:rPr>
                <w:rFonts w:hint="eastAsia" w:ascii="仿宋" w:hAnsi="仿宋" w:eastAsia="仿宋" w:cs="仿宋"/>
                <w:b/>
                <w:bCs/>
                <w:snapToGrid/>
                <w:kern w:val="2"/>
                <w:sz w:val="28"/>
                <w:szCs w:val="28"/>
                <w:lang w:eastAsia="zh-CN"/>
              </w:rPr>
            </w:pPr>
          </w:p>
          <w:p>
            <w:pPr>
              <w:pStyle w:val="9"/>
              <w:jc w:val="center"/>
              <w:rPr>
                <w:rFonts w:hint="eastAsia" w:ascii="仿宋" w:hAnsi="仿宋" w:eastAsia="仿宋" w:cs="仿宋"/>
                <w:sz w:val="28"/>
                <w:szCs w:val="28"/>
              </w:rPr>
            </w:pPr>
            <w:r>
              <w:rPr>
                <w:rFonts w:hint="eastAsia" w:ascii="仿宋" w:hAnsi="仿宋" w:eastAsia="仿宋" w:cs="仿宋"/>
                <w:b/>
                <w:bCs/>
                <w:snapToGrid/>
                <w:kern w:val="2"/>
                <w:sz w:val="28"/>
                <w:szCs w:val="28"/>
                <w:lang w:eastAsia="zh-CN"/>
              </w:rPr>
              <w:t>年度绩效目标</w:t>
            </w:r>
          </w:p>
        </w:tc>
        <w:tc>
          <w:tcPr>
            <w:tcW w:w="7410" w:type="dxa"/>
            <w:tcBorders>
              <w:tl2br w:val="nil"/>
              <w:tr2bl w:val="nil"/>
            </w:tcBorders>
            <w:vAlign w:val="center"/>
          </w:tcPr>
          <w:p>
            <w:pPr>
              <w:widowControl w:val="0"/>
              <w:kinsoku/>
              <w:autoSpaceDE/>
              <w:autoSpaceDN/>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sz w:val="28"/>
                <w:szCs w:val="28"/>
                <w:highlight w:val="none"/>
              </w:rPr>
              <w:t>通过灌区改建，缓减灌区干旱缺水的现状，使现有灌溉面积保灌程度得到有效提高;通过应用信息化手段，实现灌区工情和水情实时、全面数据响应，加强骨干渠系的水量科学调度和合理配水，逐步实现灌区管理和用水调度的数字化、智能化和智慧化。持续改善农业生产条件，维系良好灌区生态环境，提升粮食和重要农产品供给保障能力，为农业农村现代化发展提供有效支撑与保障。</w:t>
            </w:r>
          </w:p>
        </w:tc>
      </w:tr>
    </w:tbl>
    <w:p>
      <w:pPr>
        <w:kinsoku/>
        <w:autoSpaceDE/>
        <w:autoSpaceDN/>
        <w:adjustRightInd/>
        <w:spacing w:line="360" w:lineRule="auto"/>
        <w:jc w:val="center"/>
        <w:textAlignment w:val="center"/>
        <w:rPr>
          <w:rFonts w:hint="eastAsia" w:ascii="仿宋" w:hAnsi="仿宋" w:eastAsia="仿宋" w:cs="仿宋"/>
          <w:sz w:val="28"/>
          <w:szCs w:val="28"/>
        </w:rPr>
      </w:pPr>
      <w:r>
        <w:rPr>
          <w:rFonts w:hint="eastAsia" w:ascii="仿宋" w:hAnsi="仿宋" w:eastAsia="仿宋" w:cs="仿宋"/>
          <w:b/>
          <w:bCs/>
          <w:snapToGrid/>
          <w:kern w:val="2"/>
          <w:sz w:val="28"/>
          <w:szCs w:val="28"/>
          <w:lang w:eastAsia="zh-CN"/>
        </w:rPr>
        <w:t>三、评价基本情况</w:t>
      </w:r>
    </w:p>
    <w:tbl>
      <w:tblPr>
        <w:tblStyle w:val="10"/>
        <w:tblW w:w="1002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584"/>
        <w:gridCol w:w="74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2584" w:type="dxa"/>
            <w:tcBorders>
              <w:tl2br w:val="nil"/>
              <w:tr2bl w:val="nil"/>
            </w:tcBorders>
            <w:vAlign w:val="center"/>
          </w:tcPr>
          <w:p>
            <w:pPr>
              <w:pStyle w:val="9"/>
              <w:spacing w:line="360" w:lineRule="auto"/>
              <w:jc w:val="center"/>
              <w:rPr>
                <w:rFonts w:hint="eastAsia" w:ascii="仿宋" w:hAnsi="仿宋" w:eastAsia="仿宋" w:cs="仿宋"/>
                <w:sz w:val="28"/>
                <w:szCs w:val="28"/>
              </w:rPr>
            </w:pPr>
            <w:r>
              <w:rPr>
                <w:rFonts w:hint="eastAsia" w:ascii="仿宋" w:hAnsi="仿宋" w:eastAsia="仿宋" w:cs="仿宋"/>
                <w:b/>
                <w:bCs/>
                <w:snapToGrid/>
                <w:kern w:val="2"/>
                <w:sz w:val="28"/>
                <w:szCs w:val="28"/>
                <w:lang w:eastAsia="zh-CN"/>
              </w:rPr>
              <w:t>评价范围</w:t>
            </w:r>
          </w:p>
        </w:tc>
        <w:tc>
          <w:tcPr>
            <w:tcW w:w="7439" w:type="dxa"/>
            <w:tcBorders>
              <w:tl2br w:val="nil"/>
              <w:tr2bl w:val="nil"/>
            </w:tcBorders>
            <w:vAlign w:val="center"/>
          </w:tcPr>
          <w:p>
            <w:p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本次绩效评价范围为山丹县寺沟河中型灌区续建配套与节水改造项目到位资金4,630.00万元（</w:t>
            </w:r>
            <w:r>
              <w:rPr>
                <w:rFonts w:hint="eastAsia" w:ascii="仿宋" w:hAnsi="仿宋" w:eastAsia="仿宋"/>
                <w:sz w:val="28"/>
                <w:szCs w:val="28"/>
                <w:lang w:val="en-US" w:eastAsia="zh-CN"/>
              </w:rPr>
              <w:t>2023年5月-2024年9月</w:t>
            </w:r>
            <w:r>
              <w:rPr>
                <w:rFonts w:hint="eastAsia" w:ascii="仿宋" w:hAnsi="仿宋" w:eastAsia="仿宋"/>
                <w:sz w:val="28"/>
                <w:szCs w:val="28"/>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584" w:type="dxa"/>
            <w:tcBorders>
              <w:tl2br w:val="nil"/>
              <w:tr2bl w:val="nil"/>
            </w:tcBorders>
          </w:tcPr>
          <w:p>
            <w:pPr>
              <w:spacing w:line="360" w:lineRule="auto"/>
              <w:rPr>
                <w:rFonts w:hint="eastAsia" w:ascii="仿宋" w:hAnsi="仿宋" w:eastAsia="仿宋" w:cs="仿宋"/>
                <w:sz w:val="28"/>
                <w:szCs w:val="28"/>
                <w:lang w:eastAsia="zh-CN"/>
              </w:rPr>
            </w:pPr>
          </w:p>
          <w:p>
            <w:pPr>
              <w:pStyle w:val="9"/>
              <w:spacing w:line="360" w:lineRule="auto"/>
              <w:jc w:val="center"/>
              <w:rPr>
                <w:rFonts w:hint="eastAsia" w:ascii="仿宋" w:hAnsi="仿宋" w:eastAsia="仿宋" w:cs="仿宋"/>
                <w:b/>
                <w:bCs/>
                <w:snapToGrid/>
                <w:kern w:val="2"/>
                <w:sz w:val="28"/>
                <w:szCs w:val="28"/>
                <w:lang w:eastAsia="zh-CN"/>
              </w:rPr>
            </w:pPr>
          </w:p>
          <w:p>
            <w:pPr>
              <w:pStyle w:val="9"/>
              <w:spacing w:line="360" w:lineRule="auto"/>
              <w:jc w:val="center"/>
              <w:rPr>
                <w:rFonts w:hint="eastAsia" w:ascii="仿宋" w:hAnsi="仿宋" w:eastAsia="仿宋" w:cs="仿宋"/>
                <w:b/>
                <w:bCs/>
                <w:snapToGrid/>
                <w:kern w:val="2"/>
                <w:sz w:val="28"/>
                <w:szCs w:val="28"/>
                <w:lang w:eastAsia="zh-CN"/>
              </w:rPr>
            </w:pPr>
          </w:p>
          <w:p>
            <w:pPr>
              <w:pStyle w:val="9"/>
              <w:spacing w:line="360" w:lineRule="auto"/>
              <w:jc w:val="center"/>
              <w:rPr>
                <w:rFonts w:hint="eastAsia" w:ascii="仿宋" w:hAnsi="仿宋" w:eastAsia="仿宋" w:cs="仿宋"/>
                <w:b/>
                <w:bCs/>
                <w:snapToGrid/>
                <w:kern w:val="2"/>
                <w:sz w:val="28"/>
                <w:szCs w:val="28"/>
                <w:lang w:eastAsia="zh-CN"/>
              </w:rPr>
            </w:pPr>
          </w:p>
          <w:p>
            <w:pPr>
              <w:pStyle w:val="9"/>
              <w:spacing w:line="360" w:lineRule="auto"/>
              <w:jc w:val="center"/>
              <w:rPr>
                <w:rFonts w:hint="eastAsia" w:ascii="仿宋" w:hAnsi="仿宋" w:eastAsia="仿宋" w:cs="仿宋"/>
                <w:b/>
                <w:bCs/>
                <w:snapToGrid/>
                <w:kern w:val="2"/>
                <w:sz w:val="28"/>
                <w:szCs w:val="28"/>
                <w:lang w:eastAsia="zh-CN"/>
              </w:rPr>
            </w:pPr>
          </w:p>
          <w:p>
            <w:pPr>
              <w:pStyle w:val="9"/>
              <w:spacing w:line="360" w:lineRule="auto"/>
              <w:jc w:val="center"/>
              <w:rPr>
                <w:rFonts w:hint="eastAsia" w:ascii="仿宋" w:hAnsi="仿宋" w:eastAsia="仿宋" w:cs="仿宋"/>
                <w:b/>
                <w:bCs/>
                <w:snapToGrid/>
                <w:kern w:val="2"/>
                <w:sz w:val="28"/>
                <w:szCs w:val="28"/>
                <w:lang w:eastAsia="zh-CN"/>
              </w:rPr>
            </w:pPr>
          </w:p>
          <w:p>
            <w:pPr>
              <w:pStyle w:val="9"/>
              <w:spacing w:line="360" w:lineRule="auto"/>
              <w:jc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评</w:t>
            </w:r>
          </w:p>
          <w:p>
            <w:pPr>
              <w:pStyle w:val="9"/>
              <w:spacing w:line="360" w:lineRule="auto"/>
              <w:jc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价</w:t>
            </w:r>
          </w:p>
          <w:p>
            <w:pPr>
              <w:pStyle w:val="9"/>
              <w:spacing w:line="360" w:lineRule="auto"/>
              <w:jc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依</w:t>
            </w:r>
          </w:p>
          <w:p>
            <w:pPr>
              <w:pStyle w:val="9"/>
              <w:spacing w:line="360" w:lineRule="auto"/>
              <w:jc w:val="center"/>
              <w:rPr>
                <w:rFonts w:hint="eastAsia" w:ascii="仿宋" w:hAnsi="仿宋" w:eastAsia="仿宋" w:cs="仿宋"/>
                <w:sz w:val="28"/>
                <w:szCs w:val="28"/>
              </w:rPr>
            </w:pPr>
            <w:r>
              <w:rPr>
                <w:rFonts w:hint="eastAsia" w:ascii="仿宋" w:hAnsi="仿宋" w:eastAsia="仿宋" w:cs="仿宋"/>
                <w:b/>
                <w:bCs/>
                <w:snapToGrid/>
                <w:kern w:val="2"/>
                <w:sz w:val="28"/>
                <w:szCs w:val="28"/>
                <w:lang w:eastAsia="zh-CN"/>
              </w:rPr>
              <w:t>据</w:t>
            </w:r>
          </w:p>
        </w:tc>
        <w:tc>
          <w:tcPr>
            <w:tcW w:w="7439" w:type="dxa"/>
            <w:tcBorders>
              <w:tl2br w:val="nil"/>
              <w:tr2bl w:val="nil"/>
            </w:tcBorders>
          </w:tcPr>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1.《中华人民共和国预算法》（财预〔2020〕10号）；</w:t>
            </w:r>
          </w:p>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2.《中共中央国务院关于全面实施预算绩效管理的意见》（中发〔2018〕34号）；</w:t>
            </w:r>
          </w:p>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3.《财政部关于印发〈项目支出绩效评价管理办法〉的通知》（财预〔2020〕10号）；</w:t>
            </w:r>
          </w:p>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val="en-US" w:eastAsia="zh-CN"/>
              </w:rPr>
              <w:t>4</w:t>
            </w:r>
            <w:r>
              <w:rPr>
                <w:rFonts w:hint="eastAsia" w:ascii="仿宋" w:hAnsi="仿宋" w:eastAsia="仿宋" w:cs="仿宋"/>
                <w:snapToGrid/>
                <w:kern w:val="2"/>
                <w:sz w:val="28"/>
                <w:szCs w:val="28"/>
                <w:lang w:eastAsia="zh-CN"/>
              </w:rPr>
              <w:t>.财政部、水利部《水利发展资金管理办法》（财农〔</w:t>
            </w:r>
            <w:r>
              <w:rPr>
                <w:rFonts w:ascii="仿宋" w:hAnsi="仿宋" w:eastAsia="仿宋" w:cs="仿宋"/>
                <w:snapToGrid/>
                <w:kern w:val="2"/>
                <w:sz w:val="28"/>
                <w:szCs w:val="28"/>
                <w:lang w:eastAsia="zh-CN"/>
              </w:rPr>
              <w:t>2022</w:t>
            </w:r>
            <w:r>
              <w:rPr>
                <w:rFonts w:hint="eastAsia" w:ascii="仿宋" w:hAnsi="仿宋" w:eastAsia="仿宋" w:cs="仿宋"/>
                <w:snapToGrid/>
                <w:kern w:val="2"/>
                <w:sz w:val="28"/>
                <w:szCs w:val="28"/>
                <w:lang w:eastAsia="zh-CN"/>
              </w:rPr>
              <w:t>〕</w:t>
            </w:r>
            <w:r>
              <w:rPr>
                <w:rFonts w:ascii="仿宋" w:hAnsi="仿宋" w:eastAsia="仿宋" w:cs="仿宋"/>
                <w:snapToGrid/>
                <w:kern w:val="2"/>
                <w:sz w:val="28"/>
                <w:szCs w:val="28"/>
                <w:lang w:eastAsia="zh-CN"/>
              </w:rPr>
              <w:t>81</w:t>
            </w:r>
            <w:r>
              <w:rPr>
                <w:rFonts w:hint="eastAsia" w:ascii="仿宋" w:hAnsi="仿宋" w:eastAsia="仿宋" w:cs="仿宋"/>
                <w:snapToGrid/>
                <w:kern w:val="2"/>
                <w:sz w:val="28"/>
                <w:szCs w:val="28"/>
                <w:lang w:eastAsia="zh-CN"/>
              </w:rPr>
              <w:t>号）；</w:t>
            </w:r>
          </w:p>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val="en-US" w:eastAsia="zh-CN"/>
              </w:rPr>
              <w:t>5</w:t>
            </w:r>
            <w:r>
              <w:rPr>
                <w:rFonts w:hint="eastAsia" w:ascii="仿宋" w:hAnsi="仿宋" w:eastAsia="仿宋" w:cs="仿宋"/>
                <w:snapToGrid/>
                <w:kern w:val="2"/>
                <w:sz w:val="28"/>
                <w:szCs w:val="28"/>
                <w:lang w:eastAsia="zh-CN"/>
              </w:rPr>
              <w:t>.《项目支出绩效评价管理办法》（财预〔</w:t>
            </w:r>
            <w:r>
              <w:rPr>
                <w:rFonts w:ascii="仿宋" w:hAnsi="仿宋" w:eastAsia="仿宋" w:cs="仿宋"/>
                <w:snapToGrid/>
                <w:kern w:val="2"/>
                <w:sz w:val="28"/>
                <w:szCs w:val="28"/>
                <w:lang w:eastAsia="zh-CN"/>
              </w:rPr>
              <w:t>2020</w:t>
            </w:r>
            <w:r>
              <w:rPr>
                <w:rFonts w:hint="eastAsia" w:ascii="仿宋" w:hAnsi="仿宋" w:eastAsia="仿宋" w:cs="仿宋"/>
                <w:snapToGrid/>
                <w:kern w:val="2"/>
                <w:sz w:val="28"/>
                <w:szCs w:val="28"/>
                <w:lang w:eastAsia="zh-CN"/>
              </w:rPr>
              <w:t>〕</w:t>
            </w:r>
            <w:r>
              <w:rPr>
                <w:rFonts w:ascii="仿宋" w:hAnsi="仿宋" w:eastAsia="仿宋" w:cs="仿宋"/>
                <w:snapToGrid/>
                <w:kern w:val="2"/>
                <w:sz w:val="28"/>
                <w:szCs w:val="28"/>
                <w:lang w:eastAsia="zh-CN"/>
              </w:rPr>
              <w:t>10</w:t>
            </w:r>
            <w:r>
              <w:rPr>
                <w:rFonts w:hint="eastAsia" w:ascii="仿宋" w:hAnsi="仿宋" w:eastAsia="仿宋" w:cs="仿宋"/>
                <w:snapToGrid/>
                <w:kern w:val="2"/>
                <w:sz w:val="28"/>
                <w:szCs w:val="28"/>
                <w:lang w:eastAsia="zh-CN"/>
              </w:rPr>
              <w:t>号）；</w:t>
            </w:r>
          </w:p>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val="en-US" w:eastAsia="zh-CN"/>
              </w:rPr>
              <w:t>6</w:t>
            </w:r>
            <w:r>
              <w:rPr>
                <w:rFonts w:hint="eastAsia" w:ascii="仿宋" w:hAnsi="仿宋" w:eastAsia="仿宋" w:cs="仿宋"/>
                <w:snapToGrid/>
                <w:kern w:val="2"/>
                <w:sz w:val="28"/>
                <w:szCs w:val="28"/>
                <w:lang w:eastAsia="zh-CN"/>
              </w:rPr>
              <w:t>.《甘肃省省级预算绩效目标管理办法》（甘财绩〔</w:t>
            </w:r>
            <w:r>
              <w:rPr>
                <w:rFonts w:ascii="仿宋" w:hAnsi="仿宋" w:eastAsia="仿宋" w:cs="仿宋"/>
                <w:snapToGrid/>
                <w:kern w:val="2"/>
                <w:sz w:val="28"/>
                <w:szCs w:val="28"/>
                <w:lang w:eastAsia="zh-CN"/>
              </w:rPr>
              <w:t>2020</w:t>
            </w:r>
            <w:r>
              <w:rPr>
                <w:rFonts w:hint="eastAsia" w:ascii="仿宋" w:hAnsi="仿宋" w:eastAsia="仿宋" w:cs="仿宋"/>
                <w:snapToGrid/>
                <w:kern w:val="2"/>
                <w:sz w:val="28"/>
                <w:szCs w:val="28"/>
                <w:lang w:eastAsia="zh-CN"/>
              </w:rPr>
              <w:t>〕</w:t>
            </w:r>
            <w:r>
              <w:rPr>
                <w:rFonts w:ascii="仿宋" w:hAnsi="仿宋" w:eastAsia="仿宋" w:cs="仿宋"/>
                <w:snapToGrid/>
                <w:kern w:val="2"/>
                <w:sz w:val="28"/>
                <w:szCs w:val="28"/>
                <w:lang w:eastAsia="zh-CN"/>
              </w:rPr>
              <w:t>5</w:t>
            </w:r>
            <w:r>
              <w:rPr>
                <w:rFonts w:hint="eastAsia" w:ascii="仿宋" w:hAnsi="仿宋" w:eastAsia="仿宋" w:cs="仿宋"/>
                <w:snapToGrid/>
                <w:kern w:val="2"/>
                <w:sz w:val="28"/>
                <w:szCs w:val="28"/>
                <w:lang w:eastAsia="zh-CN"/>
              </w:rPr>
              <w:t>号）；</w:t>
            </w:r>
          </w:p>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7.《甘肃省水利发展资金管理实施细则》；</w:t>
            </w:r>
          </w:p>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8.《关于上报山丹县寺沟河中型灌区续建配套与节水改造工程可行性研究报告的报告》(山水〔2022〕183号)；</w:t>
            </w:r>
          </w:p>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9.《关于山丹县寺沟河中型灌区续建配套与节水改造工程评估报告》(张咨评估〔2022〕71号)；</w:t>
            </w:r>
          </w:p>
          <w:p>
            <w:pPr>
              <w:kinsoku/>
              <w:autoSpaceDE/>
              <w:autoSpaceDN/>
              <w:adjustRightInd/>
              <w:snapToGrid/>
              <w:spacing w:line="360" w:lineRule="auto"/>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val="en-US" w:eastAsia="zh-CN"/>
              </w:rPr>
              <w:t>10.</w:t>
            </w:r>
            <w:r>
              <w:rPr>
                <w:rFonts w:hint="eastAsia" w:ascii="仿宋" w:hAnsi="仿宋" w:eastAsia="仿宋" w:cs="仿宋"/>
                <w:snapToGrid/>
                <w:kern w:val="2"/>
                <w:sz w:val="28"/>
                <w:szCs w:val="28"/>
                <w:lang w:eastAsia="zh-CN"/>
              </w:rPr>
              <w:t>《甘肃省山丹县寺沟河中型灌区续建配套与节水改造项目立项建议报告》；</w:t>
            </w:r>
          </w:p>
          <w:p>
            <w:pPr>
              <w:kinsoku/>
              <w:autoSpaceDE/>
              <w:autoSpaceDN/>
              <w:adjustRightInd/>
              <w:snapToGrid/>
              <w:spacing w:line="360" w:lineRule="auto"/>
              <w:textAlignment w:val="center"/>
              <w:rPr>
                <w:rFonts w:hint="eastAsia" w:ascii="仿宋" w:hAnsi="仿宋" w:eastAsia="仿宋" w:cs="仿宋"/>
                <w:snapToGrid/>
                <w:kern w:val="2"/>
                <w:sz w:val="28"/>
                <w:szCs w:val="28"/>
                <w:lang w:val="en-US" w:eastAsia="zh-CN"/>
              </w:rPr>
            </w:pPr>
            <w:r>
              <w:rPr>
                <w:rFonts w:hint="eastAsia" w:ascii="仿宋" w:hAnsi="仿宋" w:eastAsia="仿宋" w:cs="仿宋"/>
                <w:snapToGrid/>
                <w:kern w:val="2"/>
                <w:sz w:val="28"/>
                <w:szCs w:val="28"/>
                <w:lang w:val="en-US" w:eastAsia="zh-CN"/>
              </w:rPr>
              <w:t>11.《甘肃省山丹县寺沟河中型灌区续建配套与节水改造项目预算审核意见书》(甘众咨字〔2023〕26号）；</w:t>
            </w:r>
          </w:p>
          <w:p>
            <w:pPr>
              <w:kinsoku/>
              <w:autoSpaceDE/>
              <w:autoSpaceDN/>
              <w:adjustRightInd/>
              <w:snapToGrid/>
              <w:spacing w:line="360" w:lineRule="auto"/>
              <w:textAlignment w:val="center"/>
              <w:rPr>
                <w:rFonts w:hint="eastAsia" w:ascii="仿宋" w:hAnsi="仿宋" w:eastAsia="仿宋" w:cs="仿宋"/>
                <w:snapToGrid/>
                <w:kern w:val="2"/>
                <w:sz w:val="28"/>
                <w:szCs w:val="28"/>
                <w:lang w:val="en-US" w:eastAsia="zh-CN"/>
              </w:rPr>
            </w:pPr>
            <w:r>
              <w:rPr>
                <w:rFonts w:hint="eastAsia" w:ascii="仿宋" w:hAnsi="仿宋" w:eastAsia="仿宋" w:cs="仿宋"/>
                <w:snapToGrid/>
                <w:kern w:val="2"/>
                <w:sz w:val="28"/>
                <w:szCs w:val="28"/>
                <w:lang w:val="en-US" w:eastAsia="zh-CN"/>
              </w:rPr>
              <w:t>12.《山丹县发展和改革局关于山丹县寺沟河中型灌区续建配套与节水改造工程可行性研究报告的批复》（山发改〔2022〕200号)；</w:t>
            </w:r>
          </w:p>
          <w:p>
            <w:pPr>
              <w:kinsoku/>
              <w:autoSpaceDE/>
              <w:autoSpaceDN/>
              <w:adjustRightInd/>
              <w:snapToGrid/>
              <w:spacing w:line="360" w:lineRule="auto"/>
              <w:textAlignment w:val="center"/>
              <w:rPr>
                <w:rFonts w:hint="eastAsia" w:ascii="仿宋" w:hAnsi="仿宋" w:eastAsia="仿宋" w:cs="仿宋"/>
                <w:snapToGrid/>
                <w:kern w:val="2"/>
                <w:sz w:val="28"/>
                <w:szCs w:val="28"/>
                <w:lang w:val="en-US" w:eastAsia="zh-CN"/>
              </w:rPr>
            </w:pPr>
            <w:r>
              <w:rPr>
                <w:rFonts w:hint="eastAsia" w:ascii="仿宋" w:hAnsi="仿宋" w:eastAsia="仿宋" w:cs="仿宋"/>
                <w:snapToGrid/>
                <w:kern w:val="2"/>
                <w:sz w:val="28"/>
                <w:szCs w:val="28"/>
                <w:lang w:val="en-US" w:eastAsia="zh-CN"/>
              </w:rPr>
              <w:t>13.《张掖市水务局关于甘肃省山丹县寺沟河中型灌区续建配套与节水改造项目实施方案的批复》(张水许可〔2023〕18号)；</w:t>
            </w:r>
          </w:p>
          <w:p>
            <w:pPr>
              <w:kinsoku/>
              <w:autoSpaceDE/>
              <w:autoSpaceDN/>
              <w:adjustRightInd/>
              <w:snapToGrid/>
              <w:spacing w:line="360" w:lineRule="auto"/>
              <w:textAlignment w:val="center"/>
              <w:rPr>
                <w:rFonts w:hint="default" w:ascii="仿宋" w:hAnsi="仿宋" w:eastAsia="仿宋" w:cs="仿宋"/>
                <w:snapToGrid/>
                <w:kern w:val="2"/>
                <w:sz w:val="28"/>
                <w:szCs w:val="28"/>
                <w:lang w:val="en-US" w:eastAsia="zh-CN"/>
              </w:rPr>
            </w:pPr>
            <w:r>
              <w:rPr>
                <w:rFonts w:hint="eastAsia" w:ascii="仿宋" w:hAnsi="仿宋" w:eastAsia="仿宋" w:cs="仿宋"/>
                <w:snapToGrid/>
                <w:kern w:val="2"/>
                <w:sz w:val="28"/>
                <w:szCs w:val="28"/>
                <w:lang w:val="en-US" w:eastAsia="zh-CN"/>
              </w:rPr>
              <w:t>14.项目其他相关资料和数据。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77" w:hRule="atLeast"/>
          <w:jc w:val="center"/>
        </w:trPr>
        <w:tc>
          <w:tcPr>
            <w:tcW w:w="2584" w:type="dxa"/>
            <w:tcBorders>
              <w:tl2br w:val="nil"/>
              <w:tr2bl w:val="nil"/>
            </w:tcBorders>
          </w:tcPr>
          <w:p>
            <w:pPr>
              <w:kinsoku/>
              <w:autoSpaceDE/>
              <w:autoSpaceDN/>
              <w:spacing w:line="360" w:lineRule="auto"/>
              <w:jc w:val="center"/>
              <w:textAlignment w:val="center"/>
              <w:rPr>
                <w:rFonts w:hint="eastAsia" w:ascii="仿宋" w:hAnsi="仿宋" w:eastAsia="仿宋" w:cs="仿宋"/>
                <w:b/>
                <w:bCs/>
                <w:snapToGrid/>
                <w:kern w:val="2"/>
                <w:sz w:val="28"/>
                <w:szCs w:val="28"/>
                <w:lang w:eastAsia="zh-CN"/>
              </w:rPr>
            </w:pPr>
          </w:p>
          <w:p>
            <w:pPr>
              <w:kinsoku/>
              <w:autoSpaceDE/>
              <w:autoSpaceDN/>
              <w:spacing w:line="360" w:lineRule="auto"/>
              <w:jc w:val="center"/>
              <w:textAlignment w:val="center"/>
              <w:rPr>
                <w:rFonts w:hint="eastAsia" w:ascii="仿宋" w:hAnsi="仿宋" w:eastAsia="仿宋" w:cs="仿宋"/>
                <w:b/>
                <w:bCs/>
                <w:snapToGrid/>
                <w:kern w:val="2"/>
                <w:sz w:val="28"/>
                <w:szCs w:val="28"/>
                <w:lang w:eastAsia="zh-CN"/>
              </w:rPr>
            </w:pPr>
          </w:p>
          <w:p>
            <w:pPr>
              <w:kinsoku/>
              <w:autoSpaceDE/>
              <w:autoSpaceDN/>
              <w:spacing w:line="360" w:lineRule="auto"/>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绩效评价</w:t>
            </w:r>
          </w:p>
          <w:p>
            <w:pPr>
              <w:kinsoku/>
              <w:autoSpaceDE/>
              <w:autoSpaceDN/>
              <w:spacing w:line="360" w:lineRule="auto"/>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指标体系</w:t>
            </w:r>
          </w:p>
        </w:tc>
        <w:tc>
          <w:tcPr>
            <w:tcW w:w="7439" w:type="dxa"/>
            <w:tcBorders>
              <w:tl2br w:val="nil"/>
              <w:tr2bl w:val="nil"/>
            </w:tcBorders>
          </w:tcPr>
          <w:p>
            <w:pPr>
              <w:kinsoku/>
              <w:autoSpaceDE/>
              <w:autoSpaceDN/>
              <w:spacing w:line="360" w:lineRule="auto"/>
              <w:ind w:firstLine="560" w:firstLineChars="200"/>
              <w:textAlignment w:val="center"/>
              <w:rPr>
                <w:rFonts w:hint="eastAsia" w:ascii="仿宋" w:hAnsi="仿宋" w:eastAsia="仿宋" w:cs="仿宋"/>
                <w:bCs/>
                <w:snapToGrid/>
                <w:kern w:val="2"/>
                <w:sz w:val="28"/>
                <w:szCs w:val="28"/>
                <w:lang w:eastAsia="zh-CN"/>
              </w:rPr>
            </w:pPr>
            <w:r>
              <w:rPr>
                <w:rFonts w:hint="eastAsia" w:ascii="仿宋" w:hAnsi="仿宋" w:eastAsia="仿宋" w:cs="仿宋"/>
                <w:bCs/>
                <w:snapToGrid/>
                <w:kern w:val="2"/>
                <w:sz w:val="28"/>
                <w:szCs w:val="28"/>
                <w:lang w:eastAsia="zh-CN"/>
              </w:rPr>
              <w:t>按照《项目支出绩效评价管理办法》（财预〔2020〕10号）的有关要求，遵循相关性、重要性、可比性、系统性及经济性的原则，结合项目的自身特点，此次绩效评价指标体系分别从决策、过程、产出及效益四个方面进行设计。本次绩效评价指标体系由4项一级指标、1</w:t>
            </w:r>
            <w:r>
              <w:rPr>
                <w:rFonts w:hint="eastAsia" w:ascii="仿宋" w:hAnsi="仿宋" w:eastAsia="仿宋" w:cs="仿宋"/>
                <w:bCs/>
                <w:snapToGrid/>
                <w:kern w:val="2"/>
                <w:sz w:val="28"/>
                <w:szCs w:val="28"/>
                <w:lang w:val="en-US" w:eastAsia="zh-CN"/>
              </w:rPr>
              <w:t>4</w:t>
            </w:r>
            <w:r>
              <w:rPr>
                <w:rFonts w:hint="eastAsia" w:ascii="仿宋" w:hAnsi="仿宋" w:eastAsia="仿宋" w:cs="仿宋"/>
                <w:bCs/>
                <w:snapToGrid/>
                <w:kern w:val="2"/>
                <w:sz w:val="28"/>
                <w:szCs w:val="28"/>
                <w:lang w:eastAsia="zh-CN"/>
              </w:rPr>
              <w:t>项二级指标、</w:t>
            </w:r>
            <w:r>
              <w:rPr>
                <w:rFonts w:hint="eastAsia" w:ascii="仿宋" w:hAnsi="仿宋" w:eastAsia="仿宋" w:cs="仿宋"/>
                <w:bCs/>
                <w:snapToGrid/>
                <w:kern w:val="2"/>
                <w:sz w:val="28"/>
                <w:szCs w:val="28"/>
                <w:lang w:val="en-US" w:eastAsia="zh-CN"/>
              </w:rPr>
              <w:t>31</w:t>
            </w:r>
            <w:r>
              <w:rPr>
                <w:rFonts w:hint="eastAsia" w:ascii="仿宋" w:hAnsi="仿宋" w:eastAsia="仿宋" w:cs="仿宋"/>
                <w:bCs/>
                <w:snapToGrid/>
                <w:kern w:val="2"/>
                <w:sz w:val="28"/>
                <w:szCs w:val="28"/>
                <w:lang w:eastAsia="zh-CN"/>
              </w:rPr>
              <w:t>项三级指标组成。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19" w:hRule="atLeast"/>
          <w:jc w:val="center"/>
        </w:trPr>
        <w:tc>
          <w:tcPr>
            <w:tcW w:w="2584" w:type="dxa"/>
            <w:tcBorders>
              <w:tl2br w:val="nil"/>
              <w:tr2bl w:val="nil"/>
            </w:tcBorders>
            <w:vAlign w:val="center"/>
          </w:tcPr>
          <w:p>
            <w:pPr>
              <w:pStyle w:val="9"/>
              <w:spacing w:line="360" w:lineRule="auto"/>
              <w:jc w:val="center"/>
              <w:rPr>
                <w:rFonts w:hint="eastAsia" w:ascii="仿宋" w:hAnsi="仿宋" w:eastAsia="仿宋" w:cs="仿宋"/>
                <w:sz w:val="28"/>
                <w:szCs w:val="28"/>
              </w:rPr>
            </w:pPr>
            <w:r>
              <w:rPr>
                <w:rFonts w:hint="eastAsia" w:ascii="仿宋" w:hAnsi="仿宋" w:eastAsia="仿宋" w:cs="仿宋"/>
                <w:b/>
                <w:bCs/>
                <w:snapToGrid/>
                <w:kern w:val="2"/>
                <w:sz w:val="28"/>
                <w:szCs w:val="28"/>
                <w:lang w:eastAsia="zh-CN"/>
              </w:rPr>
              <w:t>评价办法</w:t>
            </w:r>
          </w:p>
        </w:tc>
        <w:tc>
          <w:tcPr>
            <w:tcW w:w="7439" w:type="dxa"/>
            <w:tcBorders>
              <w:tl2br w:val="nil"/>
              <w:tr2bl w:val="nil"/>
            </w:tcBorders>
            <w:vAlign w:val="center"/>
          </w:tcPr>
          <w:p>
            <w:pPr>
              <w:pStyle w:val="9"/>
              <w:spacing w:before="119" w:line="360" w:lineRule="auto"/>
              <w:ind w:right="115"/>
              <w:rPr>
                <w:rFonts w:hint="eastAsia" w:ascii="仿宋" w:hAnsi="仿宋" w:eastAsia="仿宋" w:cs="仿宋"/>
                <w:sz w:val="28"/>
                <w:szCs w:val="28"/>
                <w:lang w:eastAsia="zh-CN"/>
              </w:rPr>
            </w:pPr>
            <w:r>
              <w:rPr>
                <w:rFonts w:hint="eastAsia" w:ascii="仿宋" w:hAnsi="仿宋" w:eastAsia="仿宋" w:cs="仿宋"/>
                <w:snapToGrid/>
                <w:kern w:val="2"/>
                <w:sz w:val="28"/>
                <w:szCs w:val="28"/>
                <w:lang w:eastAsia="zh-CN"/>
              </w:rPr>
              <w:t>成本效益分析法、比较分析法、</w:t>
            </w:r>
            <w:r>
              <w:rPr>
                <w:rFonts w:hint="eastAsia" w:ascii="仿宋" w:hAnsi="仿宋" w:eastAsia="仿宋" w:cs="仿宋"/>
                <w:snapToGrid/>
                <w:kern w:val="2"/>
                <w:sz w:val="28"/>
                <w:szCs w:val="28"/>
                <w:lang w:val="en-US" w:eastAsia="zh-CN"/>
              </w:rPr>
              <w:t>因素分析法</w:t>
            </w:r>
            <w:r>
              <w:rPr>
                <w:rFonts w:hint="eastAsia" w:ascii="仿宋" w:hAnsi="仿宋" w:eastAsia="仿宋" w:cs="仿宋"/>
                <w:snapToGrid/>
                <w:kern w:val="2"/>
                <w:sz w:val="28"/>
                <w:szCs w:val="28"/>
                <w:lang w:eastAsia="zh-CN"/>
              </w:rPr>
              <w:t>、</w:t>
            </w:r>
            <w:r>
              <w:rPr>
                <w:rFonts w:hint="eastAsia" w:ascii="仿宋" w:hAnsi="仿宋" w:eastAsia="仿宋" w:cs="仿宋"/>
                <w:snapToGrid/>
                <w:kern w:val="2"/>
                <w:sz w:val="28"/>
                <w:szCs w:val="28"/>
                <w:lang w:val="en-US" w:eastAsia="zh-CN"/>
              </w:rPr>
              <w:t>最低成本法、</w:t>
            </w:r>
            <w:r>
              <w:rPr>
                <w:rFonts w:hint="eastAsia" w:ascii="仿宋" w:hAnsi="仿宋" w:eastAsia="仿宋" w:cs="仿宋"/>
                <w:snapToGrid/>
                <w:kern w:val="2"/>
                <w:sz w:val="28"/>
                <w:szCs w:val="28"/>
                <w:lang w:eastAsia="zh-CN"/>
              </w:rPr>
              <w:t>公众评判法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70" w:hRule="atLeast"/>
          <w:jc w:val="center"/>
        </w:trPr>
        <w:tc>
          <w:tcPr>
            <w:tcW w:w="2584" w:type="dxa"/>
            <w:tcBorders>
              <w:tl2br w:val="nil"/>
              <w:tr2bl w:val="nil"/>
            </w:tcBorders>
            <w:vAlign w:val="center"/>
          </w:tcPr>
          <w:p>
            <w:pPr>
              <w:widowControl w:val="0"/>
              <w:kinsoku/>
              <w:autoSpaceDE/>
              <w:autoSpaceDN/>
              <w:spacing w:line="360" w:lineRule="auto"/>
              <w:jc w:val="center"/>
              <w:textAlignment w:val="auto"/>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数据采集及</w:t>
            </w:r>
          </w:p>
          <w:p>
            <w:pPr>
              <w:widowControl w:val="0"/>
              <w:kinsoku/>
              <w:autoSpaceDE/>
              <w:autoSpaceDN/>
              <w:spacing w:line="360" w:lineRule="auto"/>
              <w:jc w:val="center"/>
              <w:textAlignment w:val="auto"/>
              <w:rPr>
                <w:rFonts w:hint="eastAsia" w:ascii="仿宋" w:hAnsi="仿宋" w:eastAsia="仿宋" w:cs="仿宋"/>
                <w:sz w:val="28"/>
                <w:szCs w:val="28"/>
                <w:lang w:eastAsia="zh-CN" w:bidi="ar"/>
              </w:rPr>
            </w:pPr>
            <w:r>
              <w:rPr>
                <w:rFonts w:hint="eastAsia" w:ascii="仿宋" w:hAnsi="仿宋" w:eastAsia="仿宋" w:cs="仿宋"/>
                <w:b/>
                <w:bCs/>
                <w:snapToGrid/>
                <w:kern w:val="2"/>
                <w:sz w:val="28"/>
                <w:szCs w:val="28"/>
                <w:lang w:eastAsia="zh-CN"/>
              </w:rPr>
              <w:t>处理办法</w:t>
            </w:r>
          </w:p>
        </w:tc>
        <w:tc>
          <w:tcPr>
            <w:tcW w:w="7439" w:type="dxa"/>
            <w:tcBorders>
              <w:tl2br w:val="nil"/>
              <w:tr2bl w:val="nil"/>
            </w:tcBorders>
            <w:vAlign w:val="center"/>
          </w:tcPr>
          <w:p>
            <w:pPr>
              <w:widowControl w:val="0"/>
              <w:kinsoku/>
              <w:autoSpaceDE/>
              <w:autoSpaceDN/>
              <w:spacing w:line="360" w:lineRule="auto"/>
              <w:ind w:firstLine="560" w:firstLineChars="200"/>
              <w:jc w:val="both"/>
              <w:textAlignment w:val="auto"/>
              <w:rPr>
                <w:rFonts w:hint="eastAsia" w:ascii="仿宋" w:hAnsi="仿宋" w:eastAsia="仿宋" w:cs="仿宋"/>
                <w:sz w:val="28"/>
                <w:szCs w:val="28"/>
                <w:lang w:eastAsia="zh-CN" w:bidi="ar"/>
              </w:rPr>
            </w:pPr>
            <w:r>
              <w:rPr>
                <w:rFonts w:hint="eastAsia" w:ascii="仿宋" w:hAnsi="仿宋" w:eastAsia="仿宋" w:cs="仿宋"/>
                <w:snapToGrid/>
                <w:kern w:val="2"/>
                <w:sz w:val="28"/>
                <w:szCs w:val="28"/>
                <w:lang w:eastAsia="zh-CN"/>
              </w:rPr>
              <w:t>信息与数据收集采取非现场评价和现场评价等方式进行，数据处理采取科学合理的方法，对整理的资料进行数据提取、筛选及分析。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427" w:hRule="atLeast"/>
          <w:jc w:val="center"/>
        </w:trPr>
        <w:tc>
          <w:tcPr>
            <w:tcW w:w="2584" w:type="dxa"/>
            <w:tcBorders>
              <w:tl2br w:val="nil"/>
              <w:tr2bl w:val="nil"/>
            </w:tcBorders>
            <w:vAlign w:val="center"/>
          </w:tcPr>
          <w:p>
            <w:pPr>
              <w:kinsoku/>
              <w:autoSpaceDE/>
              <w:autoSpaceDN/>
              <w:spacing w:line="360" w:lineRule="auto"/>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绩效评价</w:t>
            </w:r>
          </w:p>
          <w:p>
            <w:pPr>
              <w:kinsoku/>
              <w:autoSpaceDE/>
              <w:autoSpaceDN/>
              <w:spacing w:line="360" w:lineRule="auto"/>
              <w:jc w:val="center"/>
              <w:textAlignment w:val="center"/>
              <w:rPr>
                <w:rFonts w:hint="eastAsia" w:ascii="仿宋" w:hAnsi="仿宋" w:eastAsia="仿宋" w:cs="仿宋"/>
                <w:sz w:val="28"/>
                <w:szCs w:val="28"/>
                <w:lang w:eastAsia="zh-CN" w:bidi="ar"/>
              </w:rPr>
            </w:pPr>
            <w:r>
              <w:rPr>
                <w:rFonts w:hint="eastAsia" w:ascii="仿宋" w:hAnsi="仿宋" w:eastAsia="仿宋" w:cs="仿宋"/>
                <w:b/>
                <w:bCs/>
                <w:snapToGrid/>
                <w:kern w:val="2"/>
                <w:sz w:val="28"/>
                <w:szCs w:val="28"/>
                <w:lang w:eastAsia="zh-CN"/>
              </w:rPr>
              <w:t>工作过程</w:t>
            </w:r>
          </w:p>
        </w:tc>
        <w:tc>
          <w:tcPr>
            <w:tcW w:w="7439" w:type="dxa"/>
            <w:tcBorders>
              <w:tl2br w:val="nil"/>
              <w:tr2bl w:val="nil"/>
            </w:tcBorders>
            <w:vAlign w:val="center"/>
          </w:tcPr>
          <w:p>
            <w:pPr>
              <w:kinsoku/>
              <w:autoSpaceDE/>
              <w:autoSpaceDN/>
              <w:spacing w:line="360" w:lineRule="auto"/>
              <w:ind w:left="560" w:hanging="560"/>
              <w:jc w:val="center"/>
              <w:textAlignment w:val="cente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1.前期准备阶段；2.现场评价阶段；3.撰写报告阶段。</w:t>
            </w:r>
          </w:p>
          <w:p>
            <w:pPr>
              <w:kinsoku/>
              <w:autoSpaceDE/>
              <w:autoSpaceDN/>
              <w:spacing w:line="360" w:lineRule="auto"/>
              <w:ind w:left="560" w:hanging="560"/>
              <w:jc w:val="both"/>
              <w:textAlignment w:val="center"/>
              <w:rPr>
                <w:lang w:bidi="ar"/>
              </w:rPr>
            </w:pPr>
            <w:r>
              <w:rPr>
                <w:rFonts w:hint="eastAsia"/>
                <w:snapToGrid/>
                <w:lang w:eastAsia="zh-CN"/>
              </w:rPr>
              <w:t xml:space="preserve"> </w:t>
            </w:r>
            <w:r>
              <w:rPr>
                <w:rFonts w:hint="eastAsia" w:eastAsiaTheme="minorEastAsia"/>
                <w:snapToGrid/>
                <w:lang w:eastAsia="zh-CN"/>
              </w:rPr>
              <w:t xml:space="preserve">      </w:t>
            </w:r>
            <w:r>
              <w:rPr>
                <w:rFonts w:hint="eastAsia" w:ascii="仿宋" w:hAnsi="仿宋" w:eastAsia="仿宋" w:cs="仿宋"/>
                <w:snapToGrid/>
                <w:kern w:val="2"/>
                <w:sz w:val="28"/>
                <w:szCs w:val="28"/>
                <w:lang w:eastAsia="zh-CN"/>
              </w:rPr>
              <w:t>（2024年9月1日</w:t>
            </w:r>
            <w:r>
              <w:rPr>
                <w:rFonts w:ascii="仿宋" w:hAnsi="仿宋" w:eastAsia="仿宋" w:cs="仿宋"/>
                <w:snapToGrid/>
                <w:kern w:val="2"/>
                <w:sz w:val="28"/>
                <w:szCs w:val="28"/>
                <w:lang w:eastAsia="zh-CN"/>
              </w:rPr>
              <w:t>—</w:t>
            </w:r>
            <w:r>
              <w:rPr>
                <w:rFonts w:hint="eastAsia" w:ascii="仿宋" w:hAnsi="仿宋" w:eastAsia="仿宋" w:cs="仿宋"/>
                <w:snapToGrid/>
                <w:kern w:val="2"/>
                <w:sz w:val="28"/>
                <w:szCs w:val="28"/>
                <w:lang w:eastAsia="zh-CN"/>
              </w:rPr>
              <w:t>2024年9月</w:t>
            </w:r>
            <w:r>
              <w:rPr>
                <w:rFonts w:hint="eastAsia" w:ascii="仿宋" w:hAnsi="仿宋" w:eastAsia="仿宋" w:cs="仿宋"/>
                <w:snapToGrid/>
                <w:kern w:val="2"/>
                <w:sz w:val="28"/>
                <w:szCs w:val="28"/>
                <w:lang w:val="en-US" w:eastAsia="zh-CN"/>
              </w:rPr>
              <w:t>30</w:t>
            </w:r>
            <w:r>
              <w:rPr>
                <w:rFonts w:hint="eastAsia" w:ascii="仿宋" w:hAnsi="仿宋" w:eastAsia="仿宋" w:cs="仿宋"/>
                <w:snapToGrid/>
                <w:kern w:val="2"/>
                <w:sz w:val="28"/>
                <w:szCs w:val="28"/>
                <w:lang w:eastAsia="zh-CN"/>
              </w:rPr>
              <w:t>日）</w:t>
            </w:r>
          </w:p>
        </w:tc>
      </w:tr>
    </w:tbl>
    <w:p>
      <w:pPr>
        <w:kinsoku/>
        <w:autoSpaceDE/>
        <w:autoSpaceDN/>
        <w:jc w:val="both"/>
        <w:textAlignment w:val="center"/>
        <w:rPr>
          <w:rFonts w:hint="eastAsia" w:ascii="仿宋" w:hAnsi="仿宋" w:eastAsia="仿宋" w:cs="仿宋"/>
          <w:b/>
          <w:bCs/>
          <w:snapToGrid/>
          <w:kern w:val="2"/>
          <w:sz w:val="28"/>
          <w:szCs w:val="28"/>
          <w:lang w:eastAsia="zh-CN"/>
        </w:rPr>
      </w:pPr>
    </w:p>
    <w:p>
      <w:pPr>
        <w:kinsoku/>
        <w:autoSpaceDE/>
        <w:autoSpaceDN/>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914400</wp:posOffset>
                </wp:positionV>
                <wp:extent cx="5274310" cy="6350"/>
                <wp:effectExtent l="0" t="0" r="0" b="0"/>
                <wp:wrapNone/>
                <wp:docPr id="3" name="任意多边形 2"/>
                <wp:cNvGraphicFramePr/>
                <a:graphic xmlns:a="http://schemas.openxmlformats.org/drawingml/2006/main">
                  <a:graphicData uri="http://schemas.microsoft.com/office/word/2010/wordprocessingShape">
                    <wps:wsp>
                      <wps:cNvSpPr/>
                      <wps:spPr>
                        <a:xfrm>
                          <a:off x="0" y="0"/>
                          <a:ext cx="5274310" cy="6350"/>
                        </a:xfrm>
                        <a:custGeom>
                          <a:avLst/>
                          <a:gdLst/>
                          <a:ahLst/>
                          <a:cxnLst/>
                          <a:rect l="0" t="0" r="0" b="0"/>
                          <a:pathLst>
                            <a:path w="8305" h="10">
                              <a:moveTo>
                                <a:pt x="0" y="9"/>
                              </a:moveTo>
                              <a:lnTo>
                                <a:pt x="8305" y="9"/>
                              </a:lnTo>
                              <a:lnTo>
                                <a:pt x="8305" y="0"/>
                              </a:lnTo>
                              <a:lnTo>
                                <a:pt x="0" y="0"/>
                              </a:lnTo>
                              <a:lnTo>
                                <a:pt x="0" y="9"/>
                              </a:lnTo>
                              <a:close/>
                            </a:path>
                          </a:pathLst>
                        </a:custGeom>
                        <a:solidFill>
                          <a:srgbClr val="000000"/>
                        </a:solidFill>
                        <a:ln>
                          <a:noFill/>
                        </a:ln>
                        <a:effectLst/>
                      </wps:spPr>
                      <wps:bodyPr wrap="square" upright="1"/>
                    </wps:wsp>
                  </a:graphicData>
                </a:graphic>
              </wp:anchor>
            </w:drawing>
          </mc:Choice>
          <mc:Fallback>
            <w:pict>
              <v:shape id="任意多边形 2" o:spid="_x0000_s1026" o:spt="100" style="position:absolute;left:0pt;margin-left:90pt;margin-top:72pt;height:0.5pt;width:415.3pt;mso-position-horizontal-relative:page;mso-position-vertical-relative:page;z-index:251660288;mso-width-relative:page;mso-height-relative:page;" fillcolor="#000000" filled="t" stroked="f" coordsize="8305,10" o:allowincell="f" o:gfxdata="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DNKWx3WAAAADAEAAA8AAAAAAAAAAQAgAAAAOAAAAGRy&#10;cy9kb3ducmV2LnhtbFBLAQIUABQAAAAIAIdO4kCNe4wsKgIAALYEAAAOAAAAAAAAAAEAIAAAADsB&#10;AABkcnMvZTJvRG9jLnhtbFBLBQYAAAAABgAGAFkBAADXBQAAAAA=&#10;" path="m0,9l8305,9,8305,0,0,0,0,9xe">
                <v:fill on="t" focussize="0,0"/>
                <v:stroke on="f"/>
                <v:imagedata o:title=""/>
                <o:lock v:ext="edit" aspectratio="f"/>
              </v:shape>
            </w:pict>
          </mc:Fallback>
        </mc:AlternateContent>
      </w:r>
      <w:r>
        <w:rPr>
          <w:rFonts w:hint="eastAsia" w:ascii="仿宋" w:hAnsi="仿宋" w:eastAsia="仿宋" w:cs="仿宋"/>
          <w:b/>
          <w:bCs/>
          <w:snapToGrid/>
          <w:kern w:val="2"/>
          <w:sz w:val="28"/>
          <w:szCs w:val="28"/>
          <w:lang w:eastAsia="zh-CN"/>
        </w:rPr>
        <w:t xml:space="preserve">  四、评价结论和绩效分析</w:t>
      </w:r>
    </w:p>
    <w:p>
      <w:pPr>
        <w:rPr>
          <w:rFonts w:hint="eastAsia" w:ascii="仿宋" w:hAnsi="仿宋" w:eastAsia="仿宋" w:cs="仿宋"/>
          <w:sz w:val="28"/>
          <w:szCs w:val="28"/>
          <w:lang w:eastAsia="zh-CN"/>
        </w:rPr>
      </w:pPr>
    </w:p>
    <w:tbl>
      <w:tblPr>
        <w:tblStyle w:val="10"/>
        <w:tblW w:w="9785" w:type="dxa"/>
        <w:tblInd w:w="-658"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359"/>
        <w:gridCol w:w="1411"/>
        <w:gridCol w:w="1123"/>
        <w:gridCol w:w="1246"/>
        <w:gridCol w:w="1307"/>
        <w:gridCol w:w="1077"/>
        <w:gridCol w:w="1262"/>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PrEx>
        <w:trPr>
          <w:trHeight w:val="724" w:hRule="atLeast"/>
        </w:trPr>
        <w:tc>
          <w:tcPr>
            <w:tcW w:w="2359"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napToGrid/>
                <w:kern w:val="2"/>
                <w:sz w:val="28"/>
                <w:szCs w:val="28"/>
                <w:lang w:eastAsia="zh-CN"/>
              </w:rPr>
              <w:t>综合评价结论</w:t>
            </w:r>
          </w:p>
        </w:tc>
        <w:tc>
          <w:tcPr>
            <w:tcW w:w="1411"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pacing w:val="-2"/>
                <w:sz w:val="28"/>
                <w:szCs w:val="28"/>
              </w:rPr>
              <w:t>评价得分</w:t>
            </w:r>
          </w:p>
        </w:tc>
        <w:tc>
          <w:tcPr>
            <w:tcW w:w="2369" w:type="dxa"/>
            <w:gridSpan w:val="2"/>
            <w:tcBorders>
              <w:tl2br w:val="nil"/>
              <w:tr2bl w:val="nil"/>
            </w:tcBorders>
            <w:vAlign w:val="center"/>
          </w:tcPr>
          <w:p>
            <w:pPr>
              <w:pStyle w:val="9"/>
              <w:jc w:val="center"/>
              <w:rPr>
                <w:rFonts w:hint="default" w:ascii="仿宋" w:hAnsi="仿宋" w:eastAsia="仿宋" w:cs="仿宋"/>
                <w:b/>
                <w:bCs/>
                <w:sz w:val="28"/>
                <w:szCs w:val="28"/>
                <w:lang w:val="en-US"/>
              </w:rPr>
            </w:pPr>
            <w:r>
              <w:rPr>
                <w:rFonts w:hint="eastAsia" w:ascii="仿宋" w:hAnsi="仿宋" w:eastAsia="仿宋" w:cs="仿宋"/>
                <w:b/>
                <w:bCs/>
                <w:sz w:val="28"/>
                <w:szCs w:val="28"/>
                <w:lang w:val="en-US" w:eastAsia="zh-CN"/>
              </w:rPr>
              <w:t>92.81</w:t>
            </w:r>
          </w:p>
        </w:tc>
        <w:tc>
          <w:tcPr>
            <w:tcW w:w="1307"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pacing w:val="-2"/>
                <w:sz w:val="28"/>
                <w:szCs w:val="28"/>
              </w:rPr>
              <w:t>评价等级</w:t>
            </w:r>
          </w:p>
        </w:tc>
        <w:tc>
          <w:tcPr>
            <w:tcW w:w="2339" w:type="dxa"/>
            <w:gridSpan w:val="2"/>
            <w:tcBorders>
              <w:tl2br w:val="nil"/>
              <w:tr2bl w:val="nil"/>
            </w:tcBorders>
            <w:vAlign w:val="center"/>
          </w:tcPr>
          <w:p>
            <w:pPr>
              <w:pStyle w:val="9"/>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优</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PrEx>
        <w:trPr>
          <w:trHeight w:val="550" w:hRule="atLeast"/>
        </w:trPr>
        <w:tc>
          <w:tcPr>
            <w:tcW w:w="2359" w:type="dxa"/>
            <w:vMerge w:val="restart"/>
            <w:tcBorders>
              <w:tl2br w:val="nil"/>
              <w:tr2bl w:val="nil"/>
            </w:tcBorders>
          </w:tcPr>
          <w:p>
            <w:pPr>
              <w:rPr>
                <w:rFonts w:hint="eastAsia" w:ascii="仿宋" w:hAnsi="仿宋" w:eastAsia="仿宋" w:cs="仿宋"/>
                <w:b/>
                <w:bCs/>
                <w:sz w:val="28"/>
                <w:szCs w:val="28"/>
              </w:rPr>
            </w:pPr>
          </w:p>
          <w:p>
            <w:pPr>
              <w:pStyle w:val="9"/>
              <w:spacing w:line="360" w:lineRule="auto"/>
              <w:jc w:val="center"/>
              <w:rPr>
                <w:rFonts w:hint="eastAsia" w:ascii="仿宋" w:hAnsi="仿宋" w:eastAsia="仿宋" w:cs="仿宋"/>
                <w:b/>
                <w:bCs/>
                <w:sz w:val="28"/>
                <w:szCs w:val="28"/>
              </w:rPr>
            </w:pPr>
            <w:r>
              <w:rPr>
                <w:rFonts w:hint="eastAsia" w:ascii="仿宋" w:hAnsi="仿宋" w:eastAsia="仿宋" w:cs="仿宋"/>
                <w:b/>
                <w:bCs/>
                <w:spacing w:val="-3"/>
                <w:sz w:val="28"/>
                <w:szCs w:val="28"/>
                <w:lang w:eastAsia="zh-CN"/>
              </w:rPr>
              <w:t>绩效</w:t>
            </w:r>
            <w:r>
              <w:rPr>
                <w:rFonts w:hint="eastAsia" w:ascii="仿宋" w:hAnsi="仿宋" w:eastAsia="仿宋" w:cs="仿宋"/>
                <w:b/>
                <w:bCs/>
                <w:spacing w:val="-3"/>
                <w:sz w:val="28"/>
                <w:szCs w:val="28"/>
              </w:rPr>
              <w:t>分析</w:t>
            </w:r>
          </w:p>
        </w:tc>
        <w:tc>
          <w:tcPr>
            <w:tcW w:w="1411"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pacing w:val="-3"/>
                <w:sz w:val="28"/>
                <w:szCs w:val="28"/>
              </w:rPr>
              <w:t>指标</w:t>
            </w:r>
          </w:p>
        </w:tc>
        <w:tc>
          <w:tcPr>
            <w:tcW w:w="1123"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z w:val="28"/>
                <w:szCs w:val="28"/>
              </w:rPr>
              <w:t>决策</w:t>
            </w:r>
          </w:p>
        </w:tc>
        <w:tc>
          <w:tcPr>
            <w:tcW w:w="1246"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z w:val="28"/>
                <w:szCs w:val="28"/>
              </w:rPr>
              <w:t>过程</w:t>
            </w:r>
          </w:p>
        </w:tc>
        <w:tc>
          <w:tcPr>
            <w:tcW w:w="1307"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z w:val="28"/>
                <w:szCs w:val="28"/>
              </w:rPr>
              <w:t>产出</w:t>
            </w:r>
          </w:p>
        </w:tc>
        <w:tc>
          <w:tcPr>
            <w:tcW w:w="1077"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z w:val="28"/>
                <w:szCs w:val="28"/>
              </w:rPr>
              <w:t>效益</w:t>
            </w:r>
          </w:p>
        </w:tc>
        <w:tc>
          <w:tcPr>
            <w:tcW w:w="1262"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z w:val="28"/>
                <w:szCs w:val="28"/>
              </w:rPr>
              <w:t>合计</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PrEx>
        <w:trPr>
          <w:trHeight w:val="630" w:hRule="atLeast"/>
        </w:trPr>
        <w:tc>
          <w:tcPr>
            <w:tcW w:w="2359" w:type="dxa"/>
            <w:vMerge w:val="continue"/>
            <w:tcBorders>
              <w:tl2br w:val="nil"/>
              <w:tr2bl w:val="nil"/>
            </w:tcBorders>
            <w:vAlign w:val="center"/>
          </w:tcPr>
          <w:p>
            <w:pPr>
              <w:jc w:val="center"/>
              <w:rPr>
                <w:rFonts w:hint="eastAsia" w:ascii="仿宋" w:hAnsi="仿宋" w:eastAsia="仿宋" w:cs="仿宋"/>
                <w:b/>
                <w:bCs/>
                <w:sz w:val="28"/>
                <w:szCs w:val="28"/>
              </w:rPr>
            </w:pPr>
          </w:p>
        </w:tc>
        <w:tc>
          <w:tcPr>
            <w:tcW w:w="1411" w:type="dxa"/>
            <w:tcBorders>
              <w:tl2br w:val="nil"/>
              <w:tr2bl w:val="nil"/>
            </w:tcBorders>
            <w:vAlign w:val="center"/>
          </w:tcPr>
          <w:p>
            <w:pPr>
              <w:pStyle w:val="9"/>
              <w:jc w:val="center"/>
              <w:rPr>
                <w:rFonts w:hint="eastAsia" w:ascii="仿宋" w:hAnsi="仿宋" w:eastAsia="仿宋" w:cs="仿宋"/>
                <w:b/>
                <w:bCs/>
                <w:sz w:val="28"/>
                <w:szCs w:val="28"/>
              </w:rPr>
            </w:pPr>
            <w:r>
              <w:rPr>
                <w:rFonts w:hint="eastAsia" w:ascii="仿宋" w:hAnsi="仿宋" w:eastAsia="仿宋" w:cs="仿宋"/>
                <w:b/>
                <w:bCs/>
                <w:spacing w:val="-3"/>
                <w:sz w:val="28"/>
                <w:szCs w:val="28"/>
                <w:lang w:eastAsia="zh-CN"/>
              </w:rPr>
              <w:t>得分率</w:t>
            </w:r>
          </w:p>
        </w:tc>
        <w:tc>
          <w:tcPr>
            <w:tcW w:w="1123" w:type="dxa"/>
            <w:tcBorders>
              <w:tl2br w:val="nil"/>
              <w:tr2bl w:val="nil"/>
            </w:tcBorders>
            <w:vAlign w:val="center"/>
          </w:tcPr>
          <w:p>
            <w:pPr>
              <w:pStyle w:val="9"/>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87.50%</w:t>
            </w:r>
          </w:p>
        </w:tc>
        <w:tc>
          <w:tcPr>
            <w:tcW w:w="1246" w:type="dxa"/>
            <w:tcBorders>
              <w:tl2br w:val="nil"/>
              <w:tr2bl w:val="nil"/>
            </w:tcBorders>
            <w:vAlign w:val="center"/>
          </w:tcPr>
          <w:p>
            <w:pPr>
              <w:pStyle w:val="9"/>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83.79%</w:t>
            </w:r>
          </w:p>
        </w:tc>
        <w:tc>
          <w:tcPr>
            <w:tcW w:w="1307" w:type="dxa"/>
            <w:tcBorders>
              <w:tl2br w:val="nil"/>
              <w:tr2bl w:val="nil"/>
            </w:tcBorders>
            <w:vAlign w:val="center"/>
          </w:tcPr>
          <w:p>
            <w:pPr>
              <w:pStyle w:val="9"/>
              <w:jc w:val="center"/>
              <w:rPr>
                <w:rFonts w:hint="eastAsia" w:ascii="仿宋" w:hAnsi="仿宋" w:eastAsia="仿宋" w:cs="仿宋"/>
                <w:b/>
                <w:bCs/>
                <w:sz w:val="28"/>
                <w:szCs w:val="28"/>
                <w:lang w:eastAsia="zh-CN"/>
              </w:rPr>
            </w:pPr>
            <w:r>
              <w:rPr>
                <w:rFonts w:ascii="仿宋" w:hAnsi="仿宋" w:eastAsia="仿宋" w:cs="仿宋"/>
                <w:b/>
                <w:bCs/>
                <w:sz w:val="28"/>
                <w:szCs w:val="28"/>
                <w:lang w:eastAsia="zh-CN"/>
              </w:rPr>
              <w:t>100.00%</w:t>
            </w:r>
          </w:p>
        </w:tc>
        <w:tc>
          <w:tcPr>
            <w:tcW w:w="1077" w:type="dxa"/>
            <w:tcBorders>
              <w:tl2br w:val="nil"/>
              <w:tr2bl w:val="nil"/>
            </w:tcBorders>
            <w:vAlign w:val="center"/>
          </w:tcPr>
          <w:p>
            <w:pPr>
              <w:pStyle w:val="9"/>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95.67%</w:t>
            </w:r>
          </w:p>
        </w:tc>
        <w:tc>
          <w:tcPr>
            <w:tcW w:w="1262" w:type="dxa"/>
            <w:tcBorders>
              <w:tl2br w:val="nil"/>
              <w:tr2bl w:val="nil"/>
            </w:tcBorders>
            <w:vAlign w:val="center"/>
          </w:tcPr>
          <w:p>
            <w:pPr>
              <w:pStyle w:val="9"/>
              <w:jc w:val="center"/>
              <w:rPr>
                <w:rFonts w:hint="eastAsia" w:ascii="仿宋" w:hAnsi="仿宋" w:eastAsia="仿宋" w:cs="仿宋"/>
                <w:b/>
                <w:bCs/>
                <w:sz w:val="28"/>
                <w:szCs w:val="28"/>
                <w:lang w:eastAsia="zh-CN"/>
              </w:rPr>
            </w:pPr>
            <w:r>
              <w:rPr>
                <w:rFonts w:hint="eastAsia" w:ascii="仿宋" w:hAnsi="仿宋" w:eastAsia="仿宋" w:cs="Times New Roman"/>
                <w:b/>
                <w:bCs/>
                <w:sz w:val="28"/>
                <w:szCs w:val="28"/>
              </w:rPr>
              <w:t>92.81%</w:t>
            </w:r>
          </w:p>
        </w:tc>
      </w:tr>
    </w:tbl>
    <w:p>
      <w:pPr>
        <w:kinsoku/>
        <w:autoSpaceDE/>
        <w:autoSpaceDN/>
        <w:jc w:val="center"/>
        <w:textAlignment w:val="center"/>
        <w:rPr>
          <w:rFonts w:hint="eastAsia" w:ascii="仿宋" w:hAnsi="仿宋" w:eastAsia="仿宋" w:cs="仿宋"/>
          <w:b/>
          <w:bCs/>
          <w:snapToGrid/>
          <w:kern w:val="2"/>
          <w:sz w:val="28"/>
          <w:szCs w:val="28"/>
          <w:lang w:eastAsia="zh-CN"/>
        </w:rPr>
      </w:pPr>
    </w:p>
    <w:p>
      <w:pPr>
        <w:kinsoku/>
        <w:autoSpaceDE/>
        <w:autoSpaceDN/>
        <w:jc w:val="center"/>
        <w:textAlignment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五、存在问题</w:t>
      </w:r>
    </w:p>
    <w:p>
      <w:pPr>
        <w:rPr>
          <w:rFonts w:hint="eastAsia" w:ascii="仿宋" w:hAnsi="仿宋" w:eastAsia="仿宋" w:cs="仿宋"/>
          <w:sz w:val="28"/>
          <w:szCs w:val="28"/>
        </w:rPr>
        <w:sectPr>
          <w:footerReference r:id="rId3" w:type="default"/>
          <w:pgSz w:w="11907" w:h="16839"/>
          <w:pgMar w:top="1440" w:right="1803" w:bottom="1440" w:left="1803" w:header="0" w:footer="974" w:gutter="0"/>
          <w:cols w:space="720" w:num="1"/>
        </w:sectPr>
      </w:pPr>
    </w:p>
    <w:p>
      <w:pPr>
        <w:rPr>
          <w:rFonts w:hint="eastAsia" w:ascii="仿宋" w:hAnsi="仿宋" w:eastAsia="仿宋" w:cs="仿宋"/>
          <w:sz w:val="28"/>
          <w:szCs w:val="28"/>
        </w:rPr>
      </w:pPr>
    </w:p>
    <w:tbl>
      <w:tblPr>
        <w:tblStyle w:val="10"/>
        <w:tblW w:w="10088" w:type="dxa"/>
        <w:jc w:val="center"/>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0" w:type="dxa"/>
          <w:bottom w:w="0" w:type="dxa"/>
          <w:right w:w="0" w:type="dxa"/>
        </w:tblCellMar>
      </w:tblPr>
      <w:tblGrid>
        <w:gridCol w:w="10088"/>
      </w:tblGrid>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jc w:val="center"/>
        </w:trPr>
        <w:tc>
          <w:tcPr>
            <w:tcW w:w="10088" w:type="dxa"/>
            <w:tcBorders>
              <w:tl2br w:val="nil"/>
              <w:tr2bl w:val="nil"/>
            </w:tcBorders>
          </w:tcPr>
          <w:p>
            <w:pPr>
              <w:widowControl/>
              <w:snapToGrid w:val="0"/>
              <w:spacing w:after="156" w:afterLines="50" w:line="560" w:lineRule="exact"/>
              <w:ind w:firstLine="562" w:firstLineChars="200"/>
              <w:jc w:val="left"/>
              <w:rPr>
                <w:rFonts w:hint="eastAsia" w:ascii="仿宋" w:hAnsi="仿宋" w:eastAsia="仿宋" w:cs="仿宋"/>
                <w:b/>
                <w:sz w:val="28"/>
                <w:szCs w:val="28"/>
              </w:rPr>
            </w:pPr>
            <w:bookmarkStart w:id="1" w:name="_Hlk177460895"/>
            <w:r>
              <w:rPr>
                <w:rFonts w:hint="eastAsia" w:ascii="仿宋" w:hAnsi="仿宋" w:eastAsia="仿宋" w:cs="仿宋"/>
                <w:b/>
                <w:sz w:val="28"/>
                <w:szCs w:val="28"/>
                <w:lang w:val="en-US" w:eastAsia="zh-CN"/>
              </w:rPr>
              <w:t>1.</w:t>
            </w:r>
            <w:r>
              <w:rPr>
                <w:rFonts w:hint="eastAsia" w:ascii="仿宋" w:hAnsi="仿宋" w:eastAsia="仿宋" w:cs="仿宋"/>
                <w:b/>
                <w:sz w:val="28"/>
                <w:szCs w:val="28"/>
              </w:rPr>
              <w:t>项目资金落实不到位</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通过分析项目实施单位提供的相关资料，发现山丹县寺沟河中型灌区续建配套与节水改造项目存在项目预算资金落实不到位的情况。依据项目实施单位提供的《张掖市水务局关于甘肃省山丹县寺沟河中型灌区续建配套与节水改造项目实施方案批复》(张水许可〔2023〕18号)文件，该项目批复工程概算总投资5,188.00万元，其中:工程部分投资5020.48 万元，移民和环境部分投资167.52万元。资金来源为中央、省级财政资金、地方配套资金及政府专项债券资金。</w:t>
            </w:r>
          </w:p>
          <w:p>
            <w:pPr>
              <w:pStyle w:val="12"/>
              <w:widowControl w:val="0"/>
              <w:kinsoku/>
              <w:autoSpaceDE/>
              <w:autoSpaceDN/>
              <w:spacing w:line="360" w:lineRule="auto"/>
              <w:ind w:firstLine="643"/>
              <w:jc w:val="both"/>
              <w:textAlignment w:val="auto"/>
              <w:rPr>
                <w:rFonts w:hint="eastAsia" w:eastAsia="仿宋"/>
                <w:bCs/>
                <w:sz w:val="28"/>
                <w:szCs w:val="28"/>
                <w:lang w:eastAsia="zh-CN"/>
              </w:rPr>
            </w:pPr>
            <w:r>
              <w:rPr>
                <w:rFonts w:hint="eastAsia" w:eastAsia="仿宋"/>
                <w:bCs/>
                <w:sz w:val="28"/>
                <w:szCs w:val="28"/>
                <w:lang w:eastAsia="zh-CN"/>
              </w:rPr>
              <w:t>通过分析项目资料，截至2024年</w:t>
            </w:r>
            <w:r>
              <w:rPr>
                <w:rFonts w:hint="eastAsia" w:eastAsia="仿宋"/>
                <w:bCs/>
                <w:color w:val="auto"/>
                <w:sz w:val="28"/>
                <w:szCs w:val="28"/>
                <w:lang w:eastAsia="zh-CN"/>
              </w:rPr>
              <w:t>9月30日</w:t>
            </w:r>
            <w:r>
              <w:rPr>
                <w:rFonts w:hint="eastAsia" w:eastAsia="仿宋"/>
                <w:bCs/>
                <w:sz w:val="28"/>
                <w:szCs w:val="28"/>
                <w:lang w:eastAsia="zh-CN"/>
              </w:rPr>
              <w:t>，该项目实际到位资金共计4,630.00万元，其中：中央财政水利发展资金1,766.00万元，甘肃省及以下财政资金224.00万元，国债资金2,380.00万元，一般债券资金260.00万元，与工程批复投资额相比，尚有558.00万元项目预算资金未落实。</w:t>
            </w:r>
          </w:p>
          <w:p>
            <w:pPr>
              <w:pStyle w:val="12"/>
              <w:widowControl w:val="0"/>
              <w:kinsoku/>
              <w:autoSpaceDE/>
              <w:autoSpaceDN/>
              <w:spacing w:line="360" w:lineRule="auto"/>
              <w:ind w:firstLine="643"/>
              <w:jc w:val="both"/>
              <w:textAlignment w:val="auto"/>
              <w:rPr>
                <w:rFonts w:hint="eastAsia" w:eastAsia="仿宋"/>
                <w:b/>
                <w:snapToGrid/>
                <w:kern w:val="2"/>
                <w:sz w:val="28"/>
                <w:szCs w:val="28"/>
                <w:lang w:val="en-US" w:eastAsia="zh-CN" w:bidi="ar-SA"/>
              </w:rPr>
            </w:pPr>
            <w:r>
              <w:rPr>
                <w:rFonts w:hint="eastAsia" w:eastAsia="仿宋"/>
                <w:b/>
                <w:sz w:val="28"/>
                <w:szCs w:val="28"/>
                <w:lang w:val="en-US" w:eastAsia="zh-CN"/>
              </w:rPr>
              <w:t>2.</w:t>
            </w:r>
            <w:r>
              <w:rPr>
                <w:rFonts w:hint="eastAsia" w:eastAsia="仿宋"/>
                <w:b/>
                <w:snapToGrid/>
                <w:kern w:val="2"/>
                <w:sz w:val="28"/>
                <w:szCs w:val="28"/>
                <w:lang w:val="en-US" w:eastAsia="zh-CN" w:bidi="ar-SA"/>
              </w:rPr>
              <w:t>财务监控有效性不足</w:t>
            </w:r>
          </w:p>
          <w:p>
            <w:pPr>
              <w:pStyle w:val="12"/>
              <w:kinsoku/>
              <w:spacing w:line="360" w:lineRule="auto"/>
              <w:ind w:firstLine="643"/>
              <w:rPr>
                <w:rFonts w:hint="eastAsia" w:eastAsia="仿宋"/>
                <w:bCs/>
                <w:snapToGrid/>
                <w:color w:val="auto"/>
                <w:kern w:val="2"/>
                <w:sz w:val="28"/>
                <w:szCs w:val="28"/>
                <w:lang w:val="en-US" w:eastAsia="zh-CN" w:bidi="ar-SA"/>
              </w:rPr>
            </w:pPr>
            <w:r>
              <w:rPr>
                <w:rFonts w:hint="eastAsia" w:eastAsia="仿宋"/>
                <w:bCs/>
                <w:snapToGrid/>
                <w:color w:val="auto"/>
                <w:kern w:val="2"/>
                <w:sz w:val="28"/>
                <w:szCs w:val="28"/>
                <w:lang w:val="en-US" w:eastAsia="zh-CN" w:bidi="ar-SA"/>
              </w:rPr>
              <w:t>（1）合同费用支付方式与约定不符</w:t>
            </w:r>
          </w:p>
          <w:p>
            <w:pPr>
              <w:pStyle w:val="12"/>
              <w:kinsoku/>
              <w:spacing w:line="360" w:lineRule="auto"/>
              <w:ind w:firstLine="643"/>
              <w:rPr>
                <w:rFonts w:hint="eastAsia" w:eastAsia="仿宋"/>
                <w:bCs/>
                <w:snapToGrid/>
                <w:color w:val="auto"/>
                <w:kern w:val="2"/>
                <w:sz w:val="28"/>
                <w:szCs w:val="28"/>
                <w:lang w:val="en-US" w:eastAsia="zh-CN" w:bidi="ar-SA"/>
              </w:rPr>
            </w:pPr>
            <w:r>
              <w:rPr>
                <w:rFonts w:hint="eastAsia" w:eastAsia="仿宋"/>
                <w:bCs/>
                <w:snapToGrid/>
                <w:color w:val="auto"/>
                <w:kern w:val="2"/>
                <w:sz w:val="28"/>
                <w:szCs w:val="28"/>
                <w:lang w:val="en-US" w:eastAsia="zh-CN" w:bidi="ar-SA"/>
              </w:rPr>
              <w:t>通过分析项目实施单位提供的相关资料，发现该项目实施过程中存在资金拨付与合同约定支付方式不一致的情况，如：在签订的技术服务合同（合同编号:LKHT2023-38）中，甲方（山丹县寺沟河水利管理所）与乙方（甘肃绿科生态环境工程咨询有限公司）约定：合同签订后，乙方按照甲方要求，及时开展监理、监测工作，于合同约定时间内提交监理、监测相关报告后甲方应一次性支付乙方合同款项。合同约定价款为28.2万元，截至</w:t>
            </w:r>
            <w:r>
              <w:rPr>
                <w:rFonts w:hint="eastAsia" w:eastAsia="仿宋"/>
                <w:bCs/>
                <w:sz w:val="28"/>
                <w:szCs w:val="28"/>
                <w:lang w:eastAsia="zh-CN"/>
              </w:rPr>
              <w:t>2024年</w:t>
            </w:r>
            <w:r>
              <w:rPr>
                <w:rFonts w:hint="eastAsia" w:eastAsia="仿宋"/>
                <w:bCs/>
                <w:color w:val="auto"/>
                <w:sz w:val="28"/>
                <w:szCs w:val="28"/>
                <w:lang w:eastAsia="zh-CN"/>
              </w:rPr>
              <w:t>9月30日</w:t>
            </w:r>
            <w:r>
              <w:rPr>
                <w:rFonts w:hint="eastAsia" w:eastAsia="仿宋"/>
                <w:bCs/>
                <w:snapToGrid/>
                <w:color w:val="auto"/>
                <w:kern w:val="2"/>
                <w:sz w:val="28"/>
                <w:szCs w:val="28"/>
                <w:lang w:val="en-US" w:eastAsia="zh-CN" w:bidi="ar-SA"/>
              </w:rPr>
              <w:t>，该合同费用共计支付金额10万元，付款方式与合同约定不符。</w:t>
            </w:r>
          </w:p>
          <w:p>
            <w:pPr>
              <w:pStyle w:val="12"/>
              <w:widowControl w:val="0"/>
              <w:kinsoku/>
              <w:autoSpaceDE/>
              <w:autoSpaceDN/>
              <w:spacing w:line="360" w:lineRule="auto"/>
              <w:ind w:firstLine="643"/>
              <w:jc w:val="both"/>
              <w:textAlignment w:val="auto"/>
              <w:rPr>
                <w:rFonts w:hint="eastAsia" w:eastAsia="仿宋"/>
                <w:bCs/>
                <w:snapToGrid/>
                <w:color w:val="auto"/>
                <w:kern w:val="2"/>
                <w:sz w:val="28"/>
                <w:szCs w:val="28"/>
                <w:lang w:val="en-US" w:eastAsia="zh-CN" w:bidi="ar-SA"/>
              </w:rPr>
            </w:pPr>
            <w:r>
              <w:rPr>
                <w:rFonts w:hint="eastAsia" w:eastAsia="仿宋"/>
                <w:bCs/>
                <w:snapToGrid/>
                <w:color w:val="auto"/>
                <w:kern w:val="2"/>
                <w:sz w:val="28"/>
                <w:szCs w:val="28"/>
                <w:lang w:val="en-US" w:eastAsia="zh-CN" w:bidi="ar-SA"/>
              </w:rPr>
              <w:t>（2）个别财务凭证内容填写不正确</w:t>
            </w:r>
          </w:p>
          <w:p>
            <w:pPr>
              <w:pStyle w:val="12"/>
              <w:widowControl w:val="0"/>
              <w:kinsoku/>
              <w:autoSpaceDE/>
              <w:autoSpaceDN/>
              <w:spacing w:line="360" w:lineRule="auto"/>
              <w:ind w:firstLine="643"/>
              <w:jc w:val="both"/>
              <w:textAlignment w:val="auto"/>
              <w:rPr>
                <w:rFonts w:hint="eastAsia" w:eastAsia="仿宋"/>
                <w:bCs/>
                <w:snapToGrid/>
                <w:color w:val="auto"/>
                <w:kern w:val="2"/>
                <w:sz w:val="28"/>
                <w:szCs w:val="28"/>
                <w:lang w:val="en-US" w:eastAsia="zh-CN" w:bidi="ar-SA"/>
              </w:rPr>
            </w:pPr>
            <w:r>
              <w:rPr>
                <w:rFonts w:hint="eastAsia" w:eastAsia="仿宋"/>
                <w:bCs/>
                <w:snapToGrid/>
                <w:color w:val="auto"/>
                <w:kern w:val="2"/>
                <w:sz w:val="28"/>
                <w:szCs w:val="28"/>
                <w:lang w:val="en-US" w:eastAsia="zh-CN" w:bidi="ar-SA"/>
              </w:rPr>
              <w:t>经查阅项目相关资料，发现该项目财务资料存在个别记账凭证摘要内容填写不正确的情况，如：2023年11月(记字第5号)凭证，摘要内容应该为：社会稳定风险评估费，实际填写内容为水土保持监理费，财务监控有效性不足。</w:t>
            </w:r>
          </w:p>
          <w:p>
            <w:pPr>
              <w:pStyle w:val="12"/>
              <w:widowControl w:val="0"/>
              <w:kinsoku/>
              <w:autoSpaceDE/>
              <w:autoSpaceDN/>
              <w:spacing w:line="360" w:lineRule="auto"/>
              <w:ind w:firstLine="643"/>
              <w:jc w:val="both"/>
              <w:textAlignment w:val="auto"/>
              <w:rPr>
                <w:rFonts w:hint="eastAsia" w:eastAsia="仿宋"/>
                <w:b/>
                <w:snapToGrid/>
                <w:color w:val="0070C0"/>
                <w:kern w:val="2"/>
                <w:sz w:val="28"/>
                <w:szCs w:val="28"/>
                <w:lang w:val="en-US" w:eastAsia="zh-CN" w:bidi="ar-SA"/>
              </w:rPr>
            </w:pPr>
            <w:r>
              <w:rPr>
                <w:rFonts w:hint="eastAsia" w:eastAsia="仿宋"/>
                <w:b/>
                <w:sz w:val="28"/>
                <w:szCs w:val="28"/>
                <w:lang w:val="en-US" w:eastAsia="zh-CN"/>
              </w:rPr>
              <w:t>3.</w:t>
            </w:r>
            <w:r>
              <w:rPr>
                <w:rFonts w:hint="eastAsia" w:eastAsia="仿宋"/>
                <w:b/>
                <w:snapToGrid/>
                <w:kern w:val="2"/>
                <w:sz w:val="28"/>
                <w:szCs w:val="28"/>
                <w:lang w:val="en-US" w:eastAsia="zh-CN" w:bidi="ar-SA"/>
              </w:rPr>
              <w:t>合同内容填写不完整</w:t>
            </w:r>
          </w:p>
          <w:p>
            <w:pPr>
              <w:pStyle w:val="12"/>
              <w:kinsoku/>
              <w:spacing w:line="360" w:lineRule="auto"/>
              <w:ind w:firstLine="560" w:firstLineChars="200"/>
              <w:jc w:val="both"/>
              <w:rPr>
                <w:rFonts w:hint="eastAsia" w:eastAsia="仿宋"/>
                <w:bCs/>
                <w:snapToGrid/>
                <w:color w:val="auto"/>
                <w:kern w:val="2"/>
                <w:sz w:val="28"/>
                <w:szCs w:val="28"/>
                <w:lang w:val="en-US" w:eastAsia="zh-CN" w:bidi="ar-SA"/>
              </w:rPr>
            </w:pPr>
            <w:r>
              <w:rPr>
                <w:rFonts w:hint="eastAsia" w:eastAsia="仿宋"/>
                <w:bCs/>
                <w:snapToGrid/>
                <w:color w:val="auto"/>
                <w:kern w:val="2"/>
                <w:sz w:val="28"/>
                <w:szCs w:val="28"/>
                <w:lang w:val="en-US" w:eastAsia="zh-CN" w:bidi="ar-SA"/>
              </w:rPr>
              <w:t>通过分析项目采购资料，发现该项目存在采购合同管理不规范的情况，如：建设工程中标通知书(SDJYA230216003001)中项目实施单位与行业监管单位均未填写中标日期；项目勘察设计合同(合同编号:</w:t>
            </w:r>
            <w:r>
              <w:rPr>
                <w:rFonts w:hint="eastAsia" w:eastAsia="仿宋"/>
                <w:bCs/>
                <w:sz w:val="28"/>
                <w:szCs w:val="28"/>
                <w:lang w:eastAsia="zh-CN"/>
              </w:rPr>
              <w:t>〔2023〕</w:t>
            </w:r>
            <w:r>
              <w:rPr>
                <w:rFonts w:hint="eastAsia" w:eastAsia="仿宋"/>
                <w:bCs/>
                <w:snapToGrid/>
                <w:color w:val="auto"/>
                <w:kern w:val="2"/>
                <w:sz w:val="28"/>
                <w:szCs w:val="28"/>
                <w:lang w:val="en-US" w:eastAsia="zh-CN" w:bidi="ar-SA"/>
              </w:rPr>
              <w:t>03)中，项目实施单位地址、联系方式、开户银行、银行账号等信息均未完善；勘察设计合同补充协议中未填写补充协议签订日期。</w:t>
            </w:r>
          </w:p>
          <w:p>
            <w:pPr>
              <w:pStyle w:val="12"/>
              <w:kinsoku/>
              <w:spacing w:line="360" w:lineRule="auto"/>
              <w:ind w:firstLine="562" w:firstLineChars="200"/>
              <w:jc w:val="both"/>
              <w:rPr>
                <w:rFonts w:hint="eastAsia" w:eastAsia="仿宋"/>
                <w:b/>
                <w:snapToGrid/>
                <w:kern w:val="2"/>
                <w:sz w:val="28"/>
                <w:szCs w:val="28"/>
                <w:lang w:val="en-US" w:eastAsia="zh-CN" w:bidi="ar-SA"/>
              </w:rPr>
            </w:pPr>
            <w:r>
              <w:rPr>
                <w:rFonts w:hint="eastAsia" w:eastAsia="仿宋"/>
                <w:b/>
                <w:sz w:val="28"/>
                <w:szCs w:val="28"/>
                <w:lang w:val="en-US" w:eastAsia="zh-CN"/>
              </w:rPr>
              <w:t>4.</w:t>
            </w:r>
            <w:r>
              <w:rPr>
                <w:rFonts w:hint="eastAsia" w:eastAsia="仿宋"/>
                <w:b/>
                <w:snapToGrid/>
                <w:kern w:val="2"/>
                <w:sz w:val="28"/>
                <w:szCs w:val="28"/>
                <w:lang w:val="en-US" w:eastAsia="zh-CN" w:bidi="ar-SA"/>
              </w:rPr>
              <w:t>绩效指标细化分解程度不足</w:t>
            </w:r>
          </w:p>
          <w:p>
            <w:pPr>
              <w:pStyle w:val="12"/>
              <w:widowControl w:val="0"/>
              <w:kinsoku/>
              <w:autoSpaceDE/>
              <w:autoSpaceDN/>
              <w:spacing w:line="360" w:lineRule="auto"/>
              <w:ind w:firstLine="560" w:firstLineChars="200"/>
              <w:jc w:val="both"/>
              <w:textAlignment w:val="auto"/>
              <w:rPr>
                <w:rFonts w:hint="default" w:eastAsia="仿宋"/>
                <w:b/>
                <w:snapToGrid/>
                <w:kern w:val="2"/>
                <w:sz w:val="28"/>
                <w:szCs w:val="28"/>
                <w:lang w:val="en-US" w:eastAsia="zh-CN" w:bidi="ar-SA"/>
              </w:rPr>
            </w:pPr>
            <w:r>
              <w:rPr>
                <w:rFonts w:hint="eastAsia" w:eastAsia="仿宋"/>
                <w:bCs/>
                <w:snapToGrid/>
                <w:color w:val="auto"/>
                <w:kern w:val="2"/>
                <w:sz w:val="28"/>
                <w:szCs w:val="28"/>
                <w:lang w:val="en-US" w:eastAsia="zh-CN" w:bidi="ar-SA"/>
              </w:rPr>
              <w:t>通过资料分析，</w:t>
            </w:r>
            <w:r>
              <w:rPr>
                <w:rFonts w:hint="eastAsia" w:eastAsia="仿宋"/>
                <w:bCs/>
                <w:sz w:val="28"/>
                <w:szCs w:val="28"/>
                <w:lang w:eastAsia="zh-CN"/>
              </w:rPr>
              <w:t>项目实施单位针对</w:t>
            </w:r>
            <w:r>
              <w:rPr>
                <w:rFonts w:hint="eastAsia" w:eastAsia="仿宋"/>
                <w:bCs/>
                <w:snapToGrid/>
                <w:color w:val="auto"/>
                <w:kern w:val="2"/>
                <w:sz w:val="28"/>
                <w:szCs w:val="28"/>
                <w:lang w:val="en-US" w:eastAsia="zh-CN" w:bidi="ar-SA"/>
              </w:rPr>
              <w:t>寺沟河中型灌区续建配套与节水改造项目绩效目标已按照建设内容进行分解，如：项目产出方面已分解为产出数量、产出质量、产出时效与产出成本；但通过分析项目资料发现仍存在绩效目标分解未细化的情况，如：产出数量指标中未细化分解灌区信息化工程方面的建设内容;产出成本绩效指标仅设置为单价是否控制在批复概算单价内，指标设置过于简单笼统，未针对项目不同分项建设内容进行细化分解。</w:t>
            </w:r>
          </w:p>
        </w:tc>
      </w:tr>
      <w:bookmarkEnd w:id="1"/>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567" w:hRule="atLeast"/>
          <w:jc w:val="center"/>
        </w:trPr>
        <w:tc>
          <w:tcPr>
            <w:tcW w:w="10088" w:type="dxa"/>
            <w:tcBorders>
              <w:tl2br w:val="nil"/>
              <w:tr2bl w:val="nil"/>
            </w:tcBorders>
            <w:vAlign w:val="center"/>
          </w:tcPr>
          <w:p>
            <w:pPr>
              <w:spacing w:before="240" w:beforeLines="100" w:after="192" w:afterLines="80"/>
              <w:jc w:val="center"/>
              <w:rPr>
                <w:rFonts w:hint="eastAsia" w:ascii="仿宋" w:hAnsi="仿宋" w:eastAsia="仿宋" w:cs="仿宋"/>
                <w:sz w:val="28"/>
                <w:szCs w:val="28"/>
              </w:rPr>
            </w:pPr>
            <w:r>
              <w:rPr>
                <w:rFonts w:hint="eastAsia" w:ascii="仿宋" w:hAnsi="仿宋" w:eastAsia="仿宋" w:cs="仿宋"/>
                <w:b/>
                <w:bCs/>
                <w:snapToGrid/>
                <w:kern w:val="2"/>
                <w:sz w:val="28"/>
                <w:szCs w:val="28"/>
              </w:rPr>
              <w:t>六、有关对策建议</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jc w:val="center"/>
        </w:trPr>
        <w:tc>
          <w:tcPr>
            <w:tcW w:w="10088" w:type="dxa"/>
            <w:tcBorders>
              <w:tl2br w:val="nil"/>
              <w:tr2bl w:val="nil"/>
            </w:tcBorders>
            <w:vAlign w:val="center"/>
          </w:tcPr>
          <w:p>
            <w:pPr>
              <w:widowControl/>
              <w:snapToGrid w:val="0"/>
              <w:spacing w:line="56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加强专项资金规范管理</w:t>
            </w:r>
          </w:p>
          <w:p>
            <w:pPr>
              <w:widowControl/>
              <w:snapToGrid w:val="0"/>
              <w:spacing w:line="5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通过预算绩效管理，促进专项资金及时拨付。在编制预算时，对专项资金分配下达时间做出相关明确规定，对于按项目申报的资金，规定预算批复后多少时间内必须分配预算指标到项目单位，及时追踪资金拨付进程，确保专项资金及时、足额使用，保证项目按进度完成。</w:t>
            </w:r>
          </w:p>
          <w:p>
            <w:pPr>
              <w:widowControl/>
              <w:snapToGrid w:val="0"/>
              <w:spacing w:line="560" w:lineRule="exact"/>
              <w:ind w:firstLine="560" w:firstLineChars="200"/>
              <w:jc w:val="left"/>
              <w:rPr>
                <w:rFonts w:hint="eastAsia" w:ascii="仿宋" w:hAnsi="仿宋" w:eastAsia="仿宋" w:cs="仿宋"/>
                <w:b/>
                <w:bCs/>
                <w:sz w:val="28"/>
                <w:szCs w:val="28"/>
              </w:rPr>
            </w:pPr>
            <w:r>
              <w:rPr>
                <w:rFonts w:hint="eastAsia" w:ascii="仿宋" w:hAnsi="仿宋" w:eastAsia="仿宋" w:cs="仿宋"/>
                <w:bCs/>
                <w:sz w:val="28"/>
                <w:szCs w:val="28"/>
              </w:rPr>
              <w:t>加强资金使用监管机制建设，做到专款专用。财政部门和相关单位应建立专项资金支出的审批制度，各项目单位要严格按照申报要求使用专项资金，不得用于其他用途，做到专款专用，确保专项资金用到相应的项目中去，保障项目经费充足，促进项目按时完成，严格落实资金绩效管理。</w:t>
            </w:r>
          </w:p>
          <w:p>
            <w:pPr>
              <w:widowControl/>
              <w:snapToGrid w:val="0"/>
              <w:spacing w:after="156" w:afterLines="50" w:line="560" w:lineRule="exact"/>
              <w:ind w:firstLine="562" w:firstLineChars="200"/>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2.提升财务监控有效性</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是强化内控管理，严格执行财务规章制度。建立资金使用全流程内控机制，将项目立项、预算编制、预算执行、绩效管理等各个环节的责任明确到人、落实到位，有效防控项目建设和项目管理风险。二是进一步加强对专项资金使用的跟踪督查，及时发现和纠正资金使用不规范的现象。资金使用单位要加强对专项资金使用的自查与整改工作，保障专项资金规范、高效使用。三是制定相应的凭证审核制度和流程，明确审核任务、审核目标、审核程序和审核人员的责任，以保证凭证审核工作的准确性、规范性和高效性。审核人员需按照制度和流程进行凭证处理，坚持把凭证审核作为防范财务风险的重要环节。</w:t>
            </w:r>
          </w:p>
          <w:p>
            <w:pPr>
              <w:widowControl/>
              <w:snapToGrid w:val="0"/>
              <w:spacing w:after="156" w:afterLines="50" w:line="560" w:lineRule="exact"/>
              <w:ind w:firstLine="562" w:firstLineChars="200"/>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3.规范合同管理，避免出现合约风险</w:t>
            </w:r>
          </w:p>
          <w:p>
            <w:pPr>
              <w:widowControl/>
              <w:snapToGrid w:val="0"/>
              <w:spacing w:line="5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合同规范化管理是为了规范合同管理的行为，减少合同风险的发生，提高合同的效率和质量，保护各方当事人的合法权益。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建议项目实施单位在以后的工作过程中严格执行项目档案管理制度，做好合同管理的各项工作，如：(1)签订合同前必须确认甲、乙双方签订的合同属于法律法规范围内，具有合法性。(2)确保合同书写清晰规范，各项条款明确清楚，合同内容填写完整，避免造成争议。(3)合同中落实约定的工作量和质量以及合理报价，不能以市场低价进行签订，以防风险和损失。(4)合同要求的任务或产品，在完成前必须有相应的验收标准并严格按照验收标准进行项目验收。(5)履约完成后，合同及相关资料应及时归档，妥善保管。</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提高项目绩效目标管理水平</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建议项目实施单位进一步强化绩效目标管理，按照《中共甘肃省委 甘肃省人民政府关于全面实施预算绩效管理的实施意见》(甘发〔2018〕32号)文件要求，明确绩效目标管理内容，抓好绩效目标管理重点，提高绩效目标设定能力。绩效指标设置应做到与项目主要实施内容及预算资金使用相匹配、与项目实际情况相适应，最大程度上体现项目产出及效果。</w:t>
            </w:r>
          </w:p>
          <w:p>
            <w:pPr>
              <w:pStyle w:val="9"/>
              <w:spacing w:before="120" w:beforeLines="50" w:after="72" w:afterLines="30" w:line="360" w:lineRule="auto"/>
              <w:ind w:firstLine="560" w:firstLineChars="200"/>
              <w:rPr>
                <w:rFonts w:hint="eastAsia" w:ascii="仿宋" w:hAnsi="仿宋" w:eastAsia="仿宋" w:cs="仿宋"/>
                <w:sz w:val="32"/>
                <w:szCs w:val="32"/>
                <w:lang w:eastAsia="zh-CN"/>
              </w:rPr>
            </w:pPr>
            <w:r>
              <w:rPr>
                <w:rFonts w:hint="eastAsia" w:ascii="仿宋" w:hAnsi="仿宋" w:eastAsia="仿宋" w:cs="仿宋"/>
                <w:sz w:val="28"/>
                <w:szCs w:val="28"/>
              </w:rPr>
              <w:t>编制绩效目标要能够清晰反映项目实施所达到的预期效果，绩效目标应具有可行性，对完成任务目标应具有约束力，要全面反映项目决策、项目和资金管理、产出和效益，优先选取最具代表性、最能直接反映产出和效益的指标，指标内容应当明确、具体、可衡量，数据及佐证资料应当可采集、可获得，同类指标应具有一致性，便于评价结果相互比较。</w:t>
            </w:r>
          </w:p>
          <w:p>
            <w:pPr>
              <w:pStyle w:val="9"/>
              <w:spacing w:before="120" w:beforeLines="50" w:after="72" w:afterLines="30" w:line="348" w:lineRule="auto"/>
              <w:jc w:val="center"/>
              <w:rPr>
                <w:rFonts w:hint="eastAsia" w:ascii="仿宋" w:hAnsi="仿宋" w:eastAsia="仿宋" w:cs="仿宋"/>
                <w:sz w:val="28"/>
                <w:szCs w:val="28"/>
                <w:lang w:eastAsia="zh-CN"/>
              </w:rPr>
            </w:pPr>
            <w:r>
              <w:rPr>
                <w:rFonts w:hint="eastAsia" w:ascii="仿宋" w:hAnsi="仿宋" w:eastAsia="仿宋" w:cs="仿宋"/>
                <w:b/>
                <w:bCs/>
                <w:snapToGrid/>
                <w:kern w:val="2"/>
                <w:sz w:val="28"/>
                <w:szCs w:val="28"/>
                <w:lang w:eastAsia="zh-CN"/>
              </w:rPr>
              <w:t>七、其他需要说明的事项</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13023" w:hRule="atLeast"/>
          <w:jc w:val="center"/>
        </w:trPr>
        <w:tc>
          <w:tcPr>
            <w:tcW w:w="10088" w:type="dxa"/>
            <w:tcBorders>
              <w:tl2br w:val="nil"/>
              <w:tr2bl w:val="nil"/>
            </w:tcBorders>
            <w:vAlign w:val="center"/>
          </w:tcPr>
          <w:p>
            <w:pPr>
              <w:pStyle w:val="9"/>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bCs/>
                <w:snapToGrid/>
                <w:kern w:val="2"/>
                <w:sz w:val="28"/>
                <w:szCs w:val="28"/>
                <w:lang w:eastAsia="zh-CN"/>
              </w:rPr>
              <w:t>本次绩效评价报告是在被评价单位提供项目评价资料基础上经核实、分析完成的，被评价单位对所提供资料的合法性、真实性、完整性负责。</w:t>
            </w:r>
          </w:p>
        </w:tc>
      </w:tr>
    </w:tbl>
    <w:p>
      <w:pPr>
        <w:rPr>
          <w:rFonts w:hint="eastAsia" w:ascii="仿宋" w:hAnsi="仿宋" w:eastAsia="仿宋" w:cs="仿宋"/>
          <w:sz w:val="28"/>
          <w:szCs w:val="28"/>
          <w:lang w:eastAsia="zh-CN"/>
        </w:rPr>
      </w:pPr>
    </w:p>
    <w:sectPr>
      <w:type w:val="continuous"/>
      <w:pgSz w:w="11907" w:h="16839"/>
      <w:pgMar w:top="1440" w:right="1803" w:bottom="1440" w:left="1803" w:header="0" w:footer="97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125"/>
      <w:rPr>
        <w:rFonts w:ascii="Calibri" w:hAnsi="Calibri" w:eastAsia="Calibri" w:cs="Calibri"/>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5de762a7-14a2-428f-adfc-906c80990856"/>
  </w:docVars>
  <w:rsids>
    <w:rsidRoot w:val="EB8BCB84"/>
    <w:rsid w:val="00013966"/>
    <w:rsid w:val="0002281A"/>
    <w:rsid w:val="00024F6B"/>
    <w:rsid w:val="00056D20"/>
    <w:rsid w:val="000A4A8C"/>
    <w:rsid w:val="000C0502"/>
    <w:rsid w:val="000D09DE"/>
    <w:rsid w:val="000E3ABB"/>
    <w:rsid w:val="000F6E18"/>
    <w:rsid w:val="001251D5"/>
    <w:rsid w:val="00143F32"/>
    <w:rsid w:val="001A410E"/>
    <w:rsid w:val="0021410B"/>
    <w:rsid w:val="002365C8"/>
    <w:rsid w:val="0025010E"/>
    <w:rsid w:val="002510DE"/>
    <w:rsid w:val="002835E0"/>
    <w:rsid w:val="002E3F25"/>
    <w:rsid w:val="0030121F"/>
    <w:rsid w:val="00330987"/>
    <w:rsid w:val="00366339"/>
    <w:rsid w:val="00372A4D"/>
    <w:rsid w:val="00380049"/>
    <w:rsid w:val="003A23C2"/>
    <w:rsid w:val="003D0AD4"/>
    <w:rsid w:val="003D452A"/>
    <w:rsid w:val="003D4C51"/>
    <w:rsid w:val="003D6F93"/>
    <w:rsid w:val="003F5999"/>
    <w:rsid w:val="004007A7"/>
    <w:rsid w:val="004378DC"/>
    <w:rsid w:val="0044655B"/>
    <w:rsid w:val="004646A9"/>
    <w:rsid w:val="004666AE"/>
    <w:rsid w:val="00483B97"/>
    <w:rsid w:val="00487BC2"/>
    <w:rsid w:val="004B74EB"/>
    <w:rsid w:val="00510A76"/>
    <w:rsid w:val="00517ACF"/>
    <w:rsid w:val="00567C8F"/>
    <w:rsid w:val="00594410"/>
    <w:rsid w:val="005D58B2"/>
    <w:rsid w:val="005F3458"/>
    <w:rsid w:val="006415EC"/>
    <w:rsid w:val="00662C00"/>
    <w:rsid w:val="006723F4"/>
    <w:rsid w:val="00691769"/>
    <w:rsid w:val="006A156F"/>
    <w:rsid w:val="006A219E"/>
    <w:rsid w:val="006C6AA4"/>
    <w:rsid w:val="006C7D18"/>
    <w:rsid w:val="006F6905"/>
    <w:rsid w:val="0072658B"/>
    <w:rsid w:val="00736041"/>
    <w:rsid w:val="00794B54"/>
    <w:rsid w:val="007A3BDD"/>
    <w:rsid w:val="007C12CE"/>
    <w:rsid w:val="007C5FDE"/>
    <w:rsid w:val="007F1F84"/>
    <w:rsid w:val="008054C3"/>
    <w:rsid w:val="00831685"/>
    <w:rsid w:val="00842B7F"/>
    <w:rsid w:val="00876E26"/>
    <w:rsid w:val="00885317"/>
    <w:rsid w:val="00887681"/>
    <w:rsid w:val="008D3C7E"/>
    <w:rsid w:val="008E0871"/>
    <w:rsid w:val="008E7FB2"/>
    <w:rsid w:val="00912A84"/>
    <w:rsid w:val="0091350E"/>
    <w:rsid w:val="00924DF8"/>
    <w:rsid w:val="009353C6"/>
    <w:rsid w:val="00963EDF"/>
    <w:rsid w:val="009745F1"/>
    <w:rsid w:val="009A16D4"/>
    <w:rsid w:val="009C422B"/>
    <w:rsid w:val="009E29DE"/>
    <w:rsid w:val="009E7B05"/>
    <w:rsid w:val="00A15842"/>
    <w:rsid w:val="00A33B89"/>
    <w:rsid w:val="00A364EF"/>
    <w:rsid w:val="00A53DDD"/>
    <w:rsid w:val="00A90000"/>
    <w:rsid w:val="00AA2B0E"/>
    <w:rsid w:val="00AB1812"/>
    <w:rsid w:val="00AC72D8"/>
    <w:rsid w:val="00AE638E"/>
    <w:rsid w:val="00AF1180"/>
    <w:rsid w:val="00AF3791"/>
    <w:rsid w:val="00B3228E"/>
    <w:rsid w:val="00B750DB"/>
    <w:rsid w:val="00B84EA3"/>
    <w:rsid w:val="00B946D5"/>
    <w:rsid w:val="00BB3CB0"/>
    <w:rsid w:val="00BD0D07"/>
    <w:rsid w:val="00BD32B5"/>
    <w:rsid w:val="00BF66F5"/>
    <w:rsid w:val="00C06B7E"/>
    <w:rsid w:val="00C12BEB"/>
    <w:rsid w:val="00C50D2A"/>
    <w:rsid w:val="00C72B26"/>
    <w:rsid w:val="00C86D7D"/>
    <w:rsid w:val="00CE0EAD"/>
    <w:rsid w:val="00CE7C80"/>
    <w:rsid w:val="00CF4F85"/>
    <w:rsid w:val="00D302BE"/>
    <w:rsid w:val="00D32210"/>
    <w:rsid w:val="00D3595C"/>
    <w:rsid w:val="00D4758A"/>
    <w:rsid w:val="00D5743D"/>
    <w:rsid w:val="00D6494E"/>
    <w:rsid w:val="00DA25B3"/>
    <w:rsid w:val="00DC7870"/>
    <w:rsid w:val="00E05EB3"/>
    <w:rsid w:val="00E404FA"/>
    <w:rsid w:val="00E42447"/>
    <w:rsid w:val="00EC0342"/>
    <w:rsid w:val="00ED5F38"/>
    <w:rsid w:val="00EE4ABF"/>
    <w:rsid w:val="00F05863"/>
    <w:rsid w:val="00F079A9"/>
    <w:rsid w:val="00F2564E"/>
    <w:rsid w:val="00F63168"/>
    <w:rsid w:val="00F81C71"/>
    <w:rsid w:val="00FB134D"/>
    <w:rsid w:val="00FE0FEA"/>
    <w:rsid w:val="00FF5D4C"/>
    <w:rsid w:val="01877B89"/>
    <w:rsid w:val="03821A33"/>
    <w:rsid w:val="04C74740"/>
    <w:rsid w:val="054E09BE"/>
    <w:rsid w:val="066C559F"/>
    <w:rsid w:val="06AD62E4"/>
    <w:rsid w:val="093F51ED"/>
    <w:rsid w:val="0A195A3E"/>
    <w:rsid w:val="0D8B27AF"/>
    <w:rsid w:val="0E56100F"/>
    <w:rsid w:val="0EDE003B"/>
    <w:rsid w:val="112C6057"/>
    <w:rsid w:val="118222EB"/>
    <w:rsid w:val="14321BD6"/>
    <w:rsid w:val="155142DE"/>
    <w:rsid w:val="174B0791"/>
    <w:rsid w:val="17F07902"/>
    <w:rsid w:val="18D21BDA"/>
    <w:rsid w:val="18F90F15"/>
    <w:rsid w:val="18FE652B"/>
    <w:rsid w:val="19E27BFB"/>
    <w:rsid w:val="1AE2736B"/>
    <w:rsid w:val="1C8A6328"/>
    <w:rsid w:val="1DC47C25"/>
    <w:rsid w:val="1FBC0EEE"/>
    <w:rsid w:val="200C656B"/>
    <w:rsid w:val="21983295"/>
    <w:rsid w:val="233745DA"/>
    <w:rsid w:val="248D2E59"/>
    <w:rsid w:val="25951FC5"/>
    <w:rsid w:val="26804A23"/>
    <w:rsid w:val="28AB2C9E"/>
    <w:rsid w:val="2AD96DF8"/>
    <w:rsid w:val="2BF35C97"/>
    <w:rsid w:val="2C5129BE"/>
    <w:rsid w:val="2D2B1461"/>
    <w:rsid w:val="2E422F06"/>
    <w:rsid w:val="2ECD27D0"/>
    <w:rsid w:val="2F0401BB"/>
    <w:rsid w:val="2F234AE5"/>
    <w:rsid w:val="301B2870"/>
    <w:rsid w:val="329F3D86"/>
    <w:rsid w:val="32A0758A"/>
    <w:rsid w:val="33EA5BD2"/>
    <w:rsid w:val="36981915"/>
    <w:rsid w:val="379F4F25"/>
    <w:rsid w:val="37EA2644"/>
    <w:rsid w:val="399A3F68"/>
    <w:rsid w:val="3A96260F"/>
    <w:rsid w:val="3CC73B45"/>
    <w:rsid w:val="3D8C1AA8"/>
    <w:rsid w:val="3DD84CED"/>
    <w:rsid w:val="3DF5764D"/>
    <w:rsid w:val="3E034904"/>
    <w:rsid w:val="3E554590"/>
    <w:rsid w:val="40550877"/>
    <w:rsid w:val="40CF5B82"/>
    <w:rsid w:val="41D000C2"/>
    <w:rsid w:val="42CE4911"/>
    <w:rsid w:val="43465239"/>
    <w:rsid w:val="46B67B95"/>
    <w:rsid w:val="4714323A"/>
    <w:rsid w:val="473D3E13"/>
    <w:rsid w:val="47BA2E2A"/>
    <w:rsid w:val="48FD385A"/>
    <w:rsid w:val="49A07007"/>
    <w:rsid w:val="4A176B9D"/>
    <w:rsid w:val="4A477482"/>
    <w:rsid w:val="4B3D6AD7"/>
    <w:rsid w:val="4C8B0FC9"/>
    <w:rsid w:val="4DA93FB0"/>
    <w:rsid w:val="4E9B1B4B"/>
    <w:rsid w:val="4FBA24A4"/>
    <w:rsid w:val="4FE614EB"/>
    <w:rsid w:val="5006393C"/>
    <w:rsid w:val="539A6875"/>
    <w:rsid w:val="54C94F38"/>
    <w:rsid w:val="54CA13DC"/>
    <w:rsid w:val="55DD5CAC"/>
    <w:rsid w:val="59741916"/>
    <w:rsid w:val="5A06687E"/>
    <w:rsid w:val="5AEB5C08"/>
    <w:rsid w:val="5B5639C9"/>
    <w:rsid w:val="5C0056E3"/>
    <w:rsid w:val="5C8005D2"/>
    <w:rsid w:val="5E800339"/>
    <w:rsid w:val="60400F7A"/>
    <w:rsid w:val="616C6B1B"/>
    <w:rsid w:val="61BF7DEE"/>
    <w:rsid w:val="61DF5D9B"/>
    <w:rsid w:val="65B03CD6"/>
    <w:rsid w:val="66D24120"/>
    <w:rsid w:val="67F44B89"/>
    <w:rsid w:val="69847953"/>
    <w:rsid w:val="69EA7FA1"/>
    <w:rsid w:val="6A462E5B"/>
    <w:rsid w:val="6AB24403"/>
    <w:rsid w:val="6AFE3735"/>
    <w:rsid w:val="6BB13EFC"/>
    <w:rsid w:val="6C211623"/>
    <w:rsid w:val="6CBC20E6"/>
    <w:rsid w:val="6D1F7E14"/>
    <w:rsid w:val="6E13574A"/>
    <w:rsid w:val="6F685621"/>
    <w:rsid w:val="713A2FED"/>
    <w:rsid w:val="71846405"/>
    <w:rsid w:val="73774085"/>
    <w:rsid w:val="76664F5E"/>
    <w:rsid w:val="7682346D"/>
    <w:rsid w:val="79D51B05"/>
    <w:rsid w:val="7AAA27D0"/>
    <w:rsid w:val="7AAC17CF"/>
    <w:rsid w:val="7B9F23CB"/>
    <w:rsid w:val="7BA548EF"/>
    <w:rsid w:val="7E1A1812"/>
    <w:rsid w:val="7EBF1AAA"/>
    <w:rsid w:val="D7BCDDAF"/>
    <w:rsid w:val="EB8BC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unhideWhenUsed/>
    <w:qFormat/>
    <w:uiPriority w:val="0"/>
    <w:pPr>
      <w:keepNext/>
      <w:keepLines/>
      <w:spacing w:line="560" w:lineRule="exact"/>
      <w:ind w:firstLine="960" w:firstLineChars="200"/>
      <w:outlineLvl w:val="1"/>
    </w:pPr>
    <w:rPr>
      <w:rFonts w:ascii="楷体_GB2312" w:hAnsi="楷体_GB2312" w:eastAsia="楷体_GB2312" w:cs="Times New Roman"/>
      <w:b/>
    </w:rPr>
  </w:style>
  <w:style w:type="paragraph" w:styleId="3">
    <w:name w:val="heading 6"/>
    <w:basedOn w:val="1"/>
    <w:next w:val="1"/>
    <w:unhideWhenUsed/>
    <w:qFormat/>
    <w:uiPriority w:val="9"/>
    <w:pPr>
      <w:keepNext/>
      <w:keepLines/>
      <w:spacing w:line="360" w:lineRule="auto"/>
      <w:outlineLvl w:val="5"/>
    </w:pPr>
    <w:rPr>
      <w:rFonts w:ascii="Cambria" w:hAnsi="Cambria"/>
      <w:bCs/>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5"/>
    <w:qFormat/>
    <w:uiPriority w:val="0"/>
    <w:pPr>
      <w:widowControl w:val="0"/>
      <w:kinsoku/>
      <w:autoSpaceDE/>
      <w:autoSpaceDN/>
      <w:adjustRightInd/>
      <w:snapToGrid/>
      <w:spacing w:after="120"/>
      <w:ind w:left="420" w:leftChars="200"/>
      <w:jc w:val="both"/>
      <w:textAlignment w:val="auto"/>
    </w:pPr>
    <w:rPr>
      <w:rFonts w:asciiTheme="minorHAnsi" w:hAnsiTheme="minorHAnsi" w:eastAsiaTheme="minorEastAsia" w:cstheme="minorBidi"/>
      <w:snapToGrid/>
      <w:color w:val="auto"/>
      <w:kern w:val="2"/>
      <w:szCs w:val="24"/>
      <w:lang w:eastAsia="zh-CN"/>
    </w:rPr>
  </w:style>
  <w:style w:type="paragraph" w:styleId="5">
    <w:name w:val="footer"/>
    <w:basedOn w:val="1"/>
    <w:link w:val="13"/>
    <w:qFormat/>
    <w:uiPriority w:val="0"/>
    <w:pPr>
      <w:tabs>
        <w:tab w:val="center" w:pos="4153"/>
        <w:tab w:val="right" w:pos="8306"/>
      </w:tabs>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9">
    <w:name w:val="Table Text"/>
    <w:basedOn w:val="1"/>
    <w:semiHidden/>
    <w:qFormat/>
    <w:uiPriority w:val="0"/>
    <w:rPr>
      <w:rFonts w:ascii="宋体" w:hAnsi="宋体" w:eastAsia="宋体" w:cs="宋体"/>
      <w:sz w:val="24"/>
      <w:szCs w:val="24"/>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J正文"/>
    <w:basedOn w:val="1"/>
    <w:qFormat/>
    <w:uiPriority w:val="0"/>
    <w:pPr>
      <w:spacing w:line="360" w:lineRule="auto"/>
      <w:ind w:firstLine="656"/>
    </w:pPr>
    <w:rPr>
      <w:rFonts w:cs="仿宋_GB2312"/>
      <w:spacing w:val="4"/>
      <w:szCs w:val="32"/>
    </w:rPr>
  </w:style>
  <w:style w:type="paragraph" w:customStyle="1" w:styleId="12">
    <w:name w:val="Table Paragraph"/>
    <w:basedOn w:val="1"/>
    <w:qFormat/>
    <w:uiPriority w:val="1"/>
    <w:rPr>
      <w:rFonts w:ascii="仿宋" w:hAnsi="仿宋" w:cs="仿宋"/>
      <w:lang w:val="zh-CN" w:bidi="zh-CN"/>
    </w:rPr>
  </w:style>
  <w:style w:type="character" w:customStyle="1" w:styleId="13">
    <w:name w:val="页脚 字符"/>
    <w:basedOn w:val="8"/>
    <w:link w:val="5"/>
    <w:qFormat/>
    <w:uiPriority w:val="0"/>
    <w:rPr>
      <w:rFonts w:ascii="Arial" w:hAnsi="Arial" w:eastAsia="Arial" w:cs="Arial"/>
      <w:snapToGrid w:val="0"/>
      <w:color w:val="000000"/>
      <w:sz w:val="18"/>
      <w:szCs w:val="18"/>
      <w:lang w:eastAsia="en-US"/>
    </w:rPr>
  </w:style>
  <w:style w:type="paragraph" w:styleId="14">
    <w:name w:val="List Paragraph"/>
    <w:basedOn w:val="1"/>
    <w:unhideWhenUsed/>
    <w:qFormat/>
    <w:uiPriority w:val="99"/>
    <w:pPr>
      <w:ind w:firstLine="420" w:firstLineChars="200"/>
    </w:pPr>
  </w:style>
  <w:style w:type="character" w:customStyle="1" w:styleId="15">
    <w:name w:val="正文文本缩进 字符"/>
    <w:basedOn w:val="8"/>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3725</Words>
  <Characters>4004</Characters>
  <Lines>22</Lines>
  <Paragraphs>6</Paragraphs>
  <TotalTime>58</TotalTime>
  <ScaleCrop>false</ScaleCrop>
  <LinksUpToDate>false</LinksUpToDate>
  <CharactersWithSpaces>4024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2024-09-11T15:34:00Z</dcterms:created>
  <dc:creator>清风明月</dc:creator>
  <cp:lastModifiedBy>uos</cp:lastModifiedBy>
  <dcterms:modified xsi:type="dcterms:W3CDTF">2024-12-24T16:18:53Z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F7124B38CA0148AE9C5BD7A92EAD3F09_13</vt:lpwstr>
  </property>
</Properties>
</file>